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13" w:rsidRPr="00DD0BF5" w:rsidRDefault="00870013" w:rsidP="00870013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bCs/>
          <w:color w:val="000000"/>
          <w:spacing w:val="40"/>
          <w:sz w:val="20"/>
          <w:szCs w:val="20"/>
          <w:lang w:val="uk-UA" w:eastAsia="ru-RU"/>
        </w:rPr>
        <w:t>ПОЛОЖЕННЯ</w:t>
      </w:r>
    </w:p>
    <w:p w:rsidR="00870013" w:rsidRPr="00DD0BF5" w:rsidRDefault="00870013" w:rsidP="008700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МІЖНАРОДНОГО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СПІВРОБІТНИЦТВА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ЄВРОПЕЙСЬКОЇ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ІНТЕГРАЦІЇ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РІВНЕНСЬКОЇ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</w:t>
      </w:r>
    </w:p>
    <w:p w:rsidR="00870013" w:rsidRPr="00DD0BF5" w:rsidRDefault="00870013" w:rsidP="0087001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(нова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редакція)</w:t>
      </w:r>
    </w:p>
    <w:p w:rsidR="00870013" w:rsidRPr="00DD0BF5" w:rsidRDefault="00870013" w:rsidP="0087001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013" w:rsidRPr="00DD0BF5" w:rsidRDefault="00870013" w:rsidP="0087001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м.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Рівне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–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2019</w:t>
      </w:r>
    </w:p>
    <w:p w:rsidR="00870013" w:rsidRPr="00DD0BF5" w:rsidRDefault="00870013" w:rsidP="00870013">
      <w:pPr>
        <w:spacing w:before="80" w:after="8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>І.</w:t>
      </w:r>
      <w:r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>Загальні</w:t>
      </w:r>
      <w:r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>положення</w:t>
      </w:r>
    </w:p>
    <w:p w:rsidR="00870013" w:rsidRPr="00DD0BF5" w:rsidRDefault="00870013" w:rsidP="00870013">
      <w:pPr>
        <w:spacing w:before="80" w:after="8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spacing w:before="80" w:after="8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1.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Це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Положення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визначає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правові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економічні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основи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міжнародного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співробітництва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європейської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інтеграції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Рівненської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(далі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–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управління).</w:t>
      </w:r>
    </w:p>
    <w:p w:rsidR="00870013" w:rsidRPr="00DD0BF5" w:rsidRDefault="00870013" w:rsidP="00870013">
      <w:pPr>
        <w:spacing w:before="80" w:after="8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2.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найменування: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міжнародного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співробітництва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європейської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інтеграції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Рівненської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адміністрації.</w:t>
      </w:r>
    </w:p>
    <w:p w:rsidR="00870013" w:rsidRPr="00DD0BF5" w:rsidRDefault="00870013" w:rsidP="00870013">
      <w:pPr>
        <w:spacing w:before="80" w:after="8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Скорочене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найменування: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міжнародного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співробітництва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європейської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інтеграції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облдержадміністрації.</w:t>
      </w:r>
    </w:p>
    <w:p w:rsidR="00870013" w:rsidRPr="00DD0BF5" w:rsidRDefault="00870013" w:rsidP="00870013">
      <w:pPr>
        <w:spacing w:before="80" w:after="8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Найменування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англійською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мовою: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>Department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>for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>International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>Cooperation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>and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>European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>Integration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>of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 xml:space="preserve"> </w:t>
      </w:r>
      <w:proofErr w:type="spellStart"/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>Rivne</w:t>
      </w:r>
      <w:proofErr w:type="spellEnd"/>
      <w:r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>Regional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>State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en-GB" w:eastAsia="ru-RU"/>
        </w:rPr>
        <w:t>Administration.</w:t>
      </w:r>
    </w:p>
    <w:p w:rsidR="00870013" w:rsidRPr="00DD0BF5" w:rsidRDefault="00870013" w:rsidP="00870013">
      <w:pPr>
        <w:spacing w:before="80" w:after="8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3.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Юридична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адреса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управління: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вулиця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Симона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Петлюри,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35,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Рівне,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33013.</w:t>
      </w:r>
    </w:p>
    <w:p w:rsidR="00870013" w:rsidRPr="00DD0BF5" w:rsidRDefault="00870013" w:rsidP="00870013">
      <w:pPr>
        <w:spacing w:before="80" w:after="8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4.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структурним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підрозділом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Рівненської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підпорядковується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голові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Рівненської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підзвітне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підконтрольне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Міністерству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економічного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розвитку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торгівлі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(далі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–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Мінекономрозвитку</w:t>
      </w:r>
      <w:proofErr w:type="spellEnd"/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),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Міністерству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закордонних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справ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(далі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–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МЗС),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центральним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органам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виконавчої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влади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питань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міжнародного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співробітництва,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зовнішньоекономічної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європейської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інтеграції.</w:t>
      </w:r>
    </w:p>
    <w:p w:rsidR="00870013" w:rsidRPr="00DD0BF5" w:rsidRDefault="00870013" w:rsidP="00870013">
      <w:pPr>
        <w:spacing w:before="80" w:after="8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5.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утримується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рахунок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бюджету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неприбутковим.</w:t>
      </w:r>
    </w:p>
    <w:p w:rsidR="00870013" w:rsidRPr="00DD0BF5" w:rsidRDefault="00870013" w:rsidP="00870013">
      <w:pPr>
        <w:spacing w:before="80" w:after="8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6.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юридичною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особою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публічного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права,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має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самостійний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баланс,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власний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рахунок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(рахунки)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Головному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казначейської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служби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Рівненській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області,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печатку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зображенням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Герба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своїм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найменуванням,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кутовий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штамп,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власні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бланки,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ідентифікаційний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код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вивіску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встановленого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зразка.</w:t>
      </w:r>
    </w:p>
    <w:p w:rsidR="00870013" w:rsidRPr="00DD0BF5" w:rsidRDefault="00870013" w:rsidP="00870013">
      <w:pPr>
        <w:spacing w:before="80" w:after="8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7.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набуває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юридичної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особи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публічного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його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реєстрації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встановленому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порядку.</w:t>
      </w:r>
    </w:p>
    <w:p w:rsidR="00870013" w:rsidRPr="00DD0BF5" w:rsidRDefault="00870013" w:rsidP="00870013">
      <w:pPr>
        <w:spacing w:before="80" w:after="8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8.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правонаступником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відділу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міжнародного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співробітництва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європейської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інтеграції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Рівненської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адміністрації.</w:t>
      </w:r>
    </w:p>
    <w:p w:rsidR="00870013" w:rsidRPr="00DD0BF5" w:rsidRDefault="00870013" w:rsidP="00870013">
      <w:pPr>
        <w:spacing w:before="80" w:after="8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9.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своїх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організовує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актів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сфері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зовнішніх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зносин,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зовнішньоекономічної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політики,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транскордонного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співробітництва,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європейської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євроатлантичної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інтеграції,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здійснює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контроль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за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їх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виконанням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території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Рівненської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області.</w:t>
      </w:r>
    </w:p>
    <w:p w:rsidR="00870013" w:rsidRPr="00DD0BF5" w:rsidRDefault="00870013" w:rsidP="00870013">
      <w:pPr>
        <w:spacing w:before="80" w:after="8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10.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своїй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керується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Конституцією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актами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Президента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Кабінету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Міністрів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наказами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Міністерства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економічного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розвитку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торгівлі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Міністерства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закордонних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справ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центральних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виконавчої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влади,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розпорядженнями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голови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Рівненської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також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цим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Положенням.</w:t>
      </w:r>
    </w:p>
    <w:p w:rsidR="00870013" w:rsidRPr="00DD0BF5" w:rsidRDefault="00870013" w:rsidP="00870013">
      <w:pPr>
        <w:spacing w:before="80" w:after="8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11.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Діловодство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ведеться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мовою.</w:t>
      </w:r>
    </w:p>
    <w:p w:rsidR="00870013" w:rsidRPr="00DD0BF5" w:rsidRDefault="00870013" w:rsidP="00870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>ІІ.</w:t>
      </w:r>
      <w:r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>Основні</w:t>
      </w:r>
      <w:r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>завдання</w:t>
      </w:r>
      <w:r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>управління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12.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Головним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завданням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забезпечення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реалізації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політики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сфері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зовнішніх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зносин,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транскордонного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співробітництва,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зовнішньоекономічної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європейської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інтеграції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території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Рівненської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області.</w:t>
      </w:r>
    </w:p>
    <w:p w:rsidR="00870013" w:rsidRPr="00DD0BF5" w:rsidRDefault="00870013" w:rsidP="00870013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13.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відповідно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своїх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такі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завдання: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організовує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Конституції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актів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Президента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Кабінету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Міністрів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наказів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міністерств,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центральних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виконавчої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влади,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розпоряджень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голови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здійснює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контроль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реалізацією;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сприяє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реалізації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зовнішньополітичного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курсу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регіональному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рівні,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спрямованого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розвиток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економічних,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культурних,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гуманітарних,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наукових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зв'язків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адміністративно-територіальними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одиницями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іноземних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міжнародними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організаціями;</w:t>
      </w:r>
    </w:p>
    <w:p w:rsidR="00870013" w:rsidRPr="00DD0BF5" w:rsidRDefault="00870013" w:rsidP="0087001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3)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надає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адміністративні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послуги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визначених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законодавством;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4)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аналізує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стан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тенденції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міжнародного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співробітництва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Рівненської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області;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5)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забезпечує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своїх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захист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інтересів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фізичних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юридичних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осіб;</w:t>
      </w:r>
    </w:p>
    <w:p w:rsidR="00870013" w:rsidRPr="00DD0BF5" w:rsidRDefault="00870013" w:rsidP="0087001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6)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бере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участь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формуванні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позитивного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іміджу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України;</w:t>
      </w:r>
    </w:p>
    <w:p w:rsidR="00870013" w:rsidRPr="00DD0BF5" w:rsidRDefault="00870013" w:rsidP="0087001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7)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забезпечує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своїх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створення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належних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умов,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спрямованих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розвиток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міжрегіонального,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прикордонного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транскордонного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співробітництва;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8)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сприяє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виконанню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зобов’язань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міжнародними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договорами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9)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сприяє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розвитку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міжнародного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співробітництва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галузях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економіки,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торгівлі,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питань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захисту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людини,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екологічної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безпеки,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охорони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здоров’я,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науки,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освіти,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культури,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туризму,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фізкультури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спорту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сфер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суспільного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життя;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10)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сприяє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активізації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зовнішньоекономічних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зв’язків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виходу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зовнішній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ринок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розташованих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території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підприємств,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організацій;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11)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забезпечує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заходів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сприяння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створенню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належних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умов,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спрямованих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розвиток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міжрегіонального,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транскордонного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прикордонного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співробітництва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сфері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зовнішньоекономічної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гуманітарної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співпраці;</w:t>
      </w:r>
    </w:p>
    <w:p w:rsidR="00870013" w:rsidRPr="00DD0BF5" w:rsidRDefault="00870013" w:rsidP="0087001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12)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сприяє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розвитку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зв’язків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закордонними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українцями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громадськими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об'єднаннями;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13)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своїх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надає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сприяння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правоохоронних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митних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охорони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кордону;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14)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здійснює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своїх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координацію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аналіз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зовнішньоекономічної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підприємств,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організацій,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громадян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області;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15)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здійснює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контроль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дотриманням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суб’єктами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зовнішньоекономічної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компетенції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16)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бере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участь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підготовці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стратегії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програм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соціально-економічного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розвитку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Рівненської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області,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також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прогнозів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економічного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соціального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розвитку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області;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17)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вносить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пропозиції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проекту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відповідного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місцевого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бюджету;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18)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забезпечує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ефективне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цільове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використання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відповідних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бюджетних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коштів,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дотримання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нормативно-правових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актів,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регламентують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бюджетні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відносини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фінансово-господарську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діяльність;</w:t>
      </w:r>
    </w:p>
    <w:p w:rsidR="00870013" w:rsidRPr="00DD0BF5" w:rsidRDefault="00870013" w:rsidP="0087001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19)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бере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участь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підготовці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заходів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регіонального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розвитку;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20)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розробляє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проекти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розпоряджень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голови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Рівненської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рішення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Рівненської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ради,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визначених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випадках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–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проекти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нормативно-правових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актів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питань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реалізації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галузевих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lastRenderedPageBreak/>
        <w:t>21)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бере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участь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компетенції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погодженні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проектів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нормативно-правових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актів,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розроблених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виконавчої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влади;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22)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бере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участь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розробленні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проектів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розпоряджень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голови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проектів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нормативно-правових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актів,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головними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розробниками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яких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структурні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підрозділи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23)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бере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участь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підготовці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звітів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голови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адміністрації;</w:t>
      </w:r>
    </w:p>
    <w:p w:rsidR="00870013" w:rsidRPr="00DD0BF5" w:rsidRDefault="00870013" w:rsidP="0087001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24)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забезпечує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заходів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запобігання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протидії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корупції;</w:t>
      </w:r>
    </w:p>
    <w:p w:rsidR="00870013" w:rsidRPr="00DD0BF5" w:rsidRDefault="00870013" w:rsidP="0087001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25)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готує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самостійно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або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разом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структурними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підрозділами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інформаційні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аналітичні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матеріали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для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подання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голові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26)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готує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проекти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угод,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договорів,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меморандумів,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протоколів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зустрічей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делегацій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робочих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груп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своїх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27)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розглядає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установленому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законодавством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порядку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звернення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громадян;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28)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опрацьовує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запити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звернення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народних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депутатів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депутатів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відповідних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місцевих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рад;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29)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забезпечує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доступ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публічної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інформації,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розпорядником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якої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30)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постійно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інформує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населення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стан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визначених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законодавством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31)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здійснює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повноваження,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делеговані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місцевого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самоврядування;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32)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забезпечує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своїх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завдань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мобілізаційної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підготовки,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цивільного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захисту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населення,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дотримання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вимог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охорони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праці,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пожежної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безпеки;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33)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забезпечує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своїх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реалізацію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політики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стосовно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захисту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інформації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обмеженим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доступом;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34)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бере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участь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вирішенні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відповідно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колективних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трудових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спорів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(конфліктів);</w:t>
      </w:r>
    </w:p>
    <w:p w:rsidR="00870013" w:rsidRPr="00DD0BF5" w:rsidRDefault="00870013" w:rsidP="0087001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35)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здійснює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функцію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головного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розпорядника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бюджетних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коштів,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забезпечує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ефективне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цільове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використання;</w:t>
      </w:r>
    </w:p>
    <w:p w:rsidR="00870013" w:rsidRPr="00DD0BF5" w:rsidRDefault="00870013" w:rsidP="0087001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36)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забезпечує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передбачених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законодавством,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внутрішнього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аудиту;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37)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забезпечує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захист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персональних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даних;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38)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здійснює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передбачені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законодавством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галузеві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повноваження;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39)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здійснює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передбачені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законодавством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повноваження.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14.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відповідно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покладених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нього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завдань:</w:t>
      </w:r>
    </w:p>
    <w:p w:rsidR="00870013" w:rsidRPr="00DD0BF5" w:rsidRDefault="00870013" w:rsidP="00870013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представляє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наданих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йому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інтереси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зносинах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відповідними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суб’єктів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або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адміністративно-територіальних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утворень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іноземної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міжнародними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організаціями,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консульськими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дипломатичними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країн,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акредитованих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Україні,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також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дипломатичними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кордоном;</w:t>
      </w:r>
    </w:p>
    <w:p w:rsidR="00870013" w:rsidRPr="00DD0BF5" w:rsidRDefault="00870013" w:rsidP="00870013">
      <w:pPr>
        <w:tabs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готує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пропозиції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вдосконалення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питань,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належать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компетенції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управління;</w:t>
      </w:r>
    </w:p>
    <w:p w:rsidR="00870013" w:rsidRPr="00DD0BF5" w:rsidRDefault="00870013" w:rsidP="00870013">
      <w:pPr>
        <w:tabs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3)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координує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своїх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діяльність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структурних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підрозділів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сфері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зовнішніх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зносин,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сприяє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структурним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підрозділам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частині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зовнішніх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зносин,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надання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їм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відповідної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методичної,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консультаційної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інформаційної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допомоги;</w:t>
      </w:r>
    </w:p>
    <w:p w:rsidR="00870013" w:rsidRPr="00DD0BF5" w:rsidRDefault="00870013" w:rsidP="00870013">
      <w:pPr>
        <w:tabs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4)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розробляє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проекти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програм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розвитку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міжнародного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співробітництва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зовнішньоекономічної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області,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програм,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відносяться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компетенції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управління;</w:t>
      </w:r>
    </w:p>
    <w:p w:rsidR="00870013" w:rsidRPr="00DD0BF5" w:rsidRDefault="00870013" w:rsidP="00870013">
      <w:pPr>
        <w:tabs>
          <w:tab w:val="left" w:pos="1260"/>
        </w:tabs>
        <w:spacing w:after="0" w:line="228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5)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здійснює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підготовку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проектів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угод,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договорів,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меморандумів,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протоколів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зустрічей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комюніке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питань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зовнішніх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зносин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зовнішньоекономічної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погоджує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установленому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порядку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МЗС;</w:t>
      </w:r>
    </w:p>
    <w:p w:rsidR="00870013" w:rsidRPr="00DD0BF5" w:rsidRDefault="00870013" w:rsidP="00870013">
      <w:pPr>
        <w:tabs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6)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бере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участь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реалізації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території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програм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міжнародної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технічної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допомоги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програм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міжнародних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фінансових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фондів;</w:t>
      </w:r>
    </w:p>
    <w:p w:rsidR="00870013" w:rsidRPr="00DD0BF5" w:rsidRDefault="00870013" w:rsidP="00870013">
      <w:pPr>
        <w:tabs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7)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бере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участь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підготовці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погодженні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відповідними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центральними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виконавчої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влади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технічних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завдань,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складу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офіційних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делегацій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також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переліку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офіційних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осіб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складі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урядових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делегацій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робочих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груп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для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участі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переговорах,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конференціях,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консультаціях,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сесіях,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візитах,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заходах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двостороннього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багатостороннього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міжнародного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співробітництва;</w:t>
      </w:r>
    </w:p>
    <w:p w:rsidR="00870013" w:rsidRPr="00DD0BF5" w:rsidRDefault="00870013" w:rsidP="00870013">
      <w:pPr>
        <w:tabs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8)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бере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участь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розробленні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програм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перебування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делегацій,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груп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окремих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представників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іноземних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частині,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стосується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Рівненської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області,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організовує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протокольні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заходи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час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проведення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зустрічей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посадовими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особами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адміністрації;</w:t>
      </w:r>
    </w:p>
    <w:p w:rsidR="00870013" w:rsidRPr="00DD0BF5" w:rsidRDefault="00870013" w:rsidP="00870013">
      <w:pPr>
        <w:tabs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9)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дорученням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бере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участь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заходах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міжнародного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характеру,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також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переговорах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представниками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ділових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кіл,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іноземних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питань,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належать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його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компетенції;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10)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готує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пропозиції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покращення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інвестиційного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клімату,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створення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позитивного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інвестиційного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іміджу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сприяє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залученню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іноземних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інвестицій;</w:t>
      </w:r>
    </w:p>
    <w:p w:rsidR="00870013" w:rsidRPr="00DD0BF5" w:rsidRDefault="00870013" w:rsidP="00870013">
      <w:pPr>
        <w:tabs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11)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сприяє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просуванню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вітчизняної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продукції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ринки,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проведенню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відповідних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заходів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участі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них;</w:t>
      </w:r>
    </w:p>
    <w:p w:rsidR="00870013" w:rsidRPr="00DD0BF5" w:rsidRDefault="00870013" w:rsidP="00870013">
      <w:pPr>
        <w:tabs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12)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готує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матеріали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засідань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робочих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груп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експертів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міжурядових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комісій,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для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делегацій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області,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відряджаються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кордон,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питань,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стосуються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співробітництва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області;</w:t>
      </w:r>
    </w:p>
    <w:p w:rsidR="00870013" w:rsidRPr="00DD0BF5" w:rsidRDefault="00870013" w:rsidP="00870013">
      <w:pPr>
        <w:tabs>
          <w:tab w:val="left" w:pos="1260"/>
        </w:tabs>
        <w:spacing w:after="0" w:line="228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13)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здійснює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відповідно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заходи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для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забезпечення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перебування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Рівненській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офіційних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делегацій;</w:t>
      </w:r>
    </w:p>
    <w:p w:rsidR="00870013" w:rsidRPr="00DD0BF5" w:rsidRDefault="00870013" w:rsidP="00870013">
      <w:pPr>
        <w:tabs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14)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аналізує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результати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зовнішньоекономічної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вносить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пропозиції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дотримання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суб’єктами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підприємницької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вимог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законодавства,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правил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міжнародної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торгівлі,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надає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їм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консультації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методичну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допомогу;</w:t>
      </w:r>
    </w:p>
    <w:p w:rsidR="00870013" w:rsidRPr="00DD0BF5" w:rsidRDefault="00870013" w:rsidP="00870013">
      <w:pPr>
        <w:tabs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15)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веде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облік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здійснює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контроль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операціями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суб’єктів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зовнішньоекономічної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компетенції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делегованих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йому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повноважень;</w:t>
      </w:r>
    </w:p>
    <w:p w:rsidR="00870013" w:rsidRPr="00DD0BF5" w:rsidRDefault="00870013" w:rsidP="00870013">
      <w:pPr>
        <w:tabs>
          <w:tab w:val="left" w:pos="1260"/>
        </w:tabs>
        <w:spacing w:after="0" w:line="228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16)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забезпечує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реалізацію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передбачених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законодавством,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політики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сфері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європейської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інтеграції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євроатлантичного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співробітництва;</w:t>
      </w:r>
    </w:p>
    <w:p w:rsidR="00870013" w:rsidRPr="00DD0BF5" w:rsidRDefault="00870013" w:rsidP="00870013">
      <w:pPr>
        <w:tabs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17)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інформує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суб’єктів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підприємницької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міжнародні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виставково-ярмаркові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заходи,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ініціативи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міжнародного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характеру,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спрямовані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розвиток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економічного,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інвестиційного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співробітництва,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виробничої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кооперації;</w:t>
      </w:r>
    </w:p>
    <w:p w:rsidR="00870013" w:rsidRPr="00DD0BF5" w:rsidRDefault="00870013" w:rsidP="00870013">
      <w:pPr>
        <w:tabs>
          <w:tab w:val="left" w:pos="1260"/>
        </w:tabs>
        <w:spacing w:after="0" w:line="228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lastRenderedPageBreak/>
        <w:t>18)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вивчає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загальний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стан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економіки,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тенденції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розвитку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зовнішньоекономічної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інформує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облдержадміністрацію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цих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питань,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разі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потреби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–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організації;</w:t>
      </w:r>
    </w:p>
    <w:p w:rsidR="00870013" w:rsidRPr="00DD0BF5" w:rsidRDefault="00870013" w:rsidP="00870013">
      <w:pPr>
        <w:tabs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19)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відповідно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наданих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центральним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органом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виконавчої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влади,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здійснює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видачу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суб’єктам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зовнішньоекономічної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документів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дозвільного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характеру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щомісяця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звітує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перед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відповідним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міністерством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стосовно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видачі;</w:t>
      </w:r>
    </w:p>
    <w:p w:rsidR="00870013" w:rsidRPr="00DD0BF5" w:rsidRDefault="00870013" w:rsidP="00870013">
      <w:pPr>
        <w:tabs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20)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надає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заінтересованим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суб’єктам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підприємницької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незалежно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форми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власності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інформацію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стосовно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ділових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пропозицій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іноземних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підприємств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співробітництва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сприяє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популяризації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пропозицій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підприємств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України;</w:t>
      </w:r>
    </w:p>
    <w:p w:rsidR="00870013" w:rsidRPr="00DD0BF5" w:rsidRDefault="00870013" w:rsidP="00870013">
      <w:pPr>
        <w:tabs>
          <w:tab w:val="left" w:pos="12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left" w:pos="709"/>
          <w:tab w:val="num" w:pos="9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21)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надає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інформаційну,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методичну,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консультаційну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допомогу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установам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організаціям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області,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незалежно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організаційно-правової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форми,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сфері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зовнішньоекономічної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також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питань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зовнішніх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зносин,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розвитку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міжнародного,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транскордонного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прикордонного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співробітництва,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також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питань,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належать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компетенції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управління;</w:t>
      </w:r>
    </w:p>
    <w:p w:rsidR="00870013" w:rsidRPr="00DD0BF5" w:rsidRDefault="00870013" w:rsidP="00870013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left" w:pos="709"/>
          <w:tab w:val="num" w:pos="9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22)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бере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участь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навчання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підвищення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кваліфікації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працівників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місцевих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влади,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питань,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належать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компетенції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управління;</w:t>
      </w:r>
    </w:p>
    <w:p w:rsidR="00870013" w:rsidRPr="00DD0BF5" w:rsidRDefault="00870013" w:rsidP="00870013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left" w:pos="709"/>
          <w:tab w:val="num" w:pos="9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23)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сприяє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участі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установ,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організацій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і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підприємств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області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в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європейських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регіональних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програмах,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їх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залученню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до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участі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в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галузевих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програмах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Європейського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Союзу;</w:t>
      </w:r>
    </w:p>
    <w:p w:rsidR="00870013" w:rsidRPr="00DD0BF5" w:rsidRDefault="00870013" w:rsidP="00870013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left" w:pos="709"/>
          <w:tab w:val="num" w:pos="9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sz w:val="20"/>
          <w:szCs w:val="20"/>
          <w:lang w:val="uk-UA" w:eastAsia="ru-RU"/>
        </w:rPr>
        <w:t>24)</w:t>
      </w:r>
      <w:r>
        <w:rPr>
          <w:rFonts w:ascii="'sans-serif'" w:eastAsia="Verdana" w:hAnsi="'sans-serif'" w:cs="Verdana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повноважень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розробляє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пропозиції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щодо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розширення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двостороннього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співробітництва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іноземними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державами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поліпшення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торговельно-економічних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відносин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ними;</w:t>
      </w:r>
    </w:p>
    <w:p w:rsidR="00870013" w:rsidRPr="00DD0BF5" w:rsidRDefault="00870013" w:rsidP="00870013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25)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розробляє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пропозиції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розбудови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кордону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питань,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належать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компетенції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управління;</w:t>
      </w:r>
    </w:p>
    <w:p w:rsidR="00870013" w:rsidRPr="00DD0BF5" w:rsidRDefault="00870013" w:rsidP="00870013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26)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інформує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МЗС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укладені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облдержадміністрацією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угоди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сфері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зовнішніх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зносин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подає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завірені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копії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МЗС,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питань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зовнішньоекономічної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–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також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Мінекономрозвитку</w:t>
      </w:r>
      <w:proofErr w:type="spellEnd"/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;</w:t>
      </w:r>
    </w:p>
    <w:p w:rsidR="00870013" w:rsidRPr="00DD0BF5" w:rsidRDefault="00870013" w:rsidP="00870013">
      <w:pPr>
        <w:tabs>
          <w:tab w:val="left" w:pos="12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27)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здійснює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розгляд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звернень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громадян,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опрацьовує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запити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і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звернення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народних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депутатів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України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та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депутатів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відповідних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місцевих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питань,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пов'язаних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діяльністю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управління;</w:t>
      </w:r>
    </w:p>
    <w:p w:rsidR="00870013" w:rsidRPr="00DD0BF5" w:rsidRDefault="00870013" w:rsidP="00870013">
      <w:pPr>
        <w:tabs>
          <w:tab w:val="left" w:pos="1260"/>
        </w:tabs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28)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організовує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ведення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діловодства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роботу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укомплектування,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зберігання,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обліку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використання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архівних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документів;</w:t>
      </w:r>
    </w:p>
    <w:p w:rsidR="00870013" w:rsidRPr="00DD0BF5" w:rsidRDefault="00870013" w:rsidP="00870013">
      <w:pPr>
        <w:tabs>
          <w:tab w:val="left" w:pos="1260"/>
        </w:tabs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</w:tabs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sz w:val="20"/>
          <w:szCs w:val="20"/>
          <w:lang w:val="uk-UA" w:eastAsia="uk-UA"/>
        </w:rPr>
        <w:t>29)</w:t>
      </w:r>
      <w:r>
        <w:rPr>
          <w:rFonts w:ascii="'sans-serif'" w:eastAsia="Verdana" w:hAnsi="'sans-serif'" w:cs="Verdana"/>
          <w:sz w:val="20"/>
          <w:szCs w:val="20"/>
          <w:lang w:val="uk-UA" w:eastAsia="uk-U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забезпечує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доступ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до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публічної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інформації,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розпорядником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якої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є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управління;</w:t>
      </w:r>
    </w:p>
    <w:p w:rsidR="00870013" w:rsidRPr="00DD0BF5" w:rsidRDefault="00870013" w:rsidP="00870013">
      <w:pPr>
        <w:tabs>
          <w:tab w:val="num" w:pos="928"/>
        </w:tabs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sz w:val="20"/>
          <w:szCs w:val="20"/>
          <w:lang w:val="uk-UA" w:eastAsia="uk-UA"/>
        </w:rPr>
        <w:t>30)</w:t>
      </w:r>
      <w:r>
        <w:rPr>
          <w:rFonts w:ascii="'sans-serif'" w:eastAsia="Verdana" w:hAnsi="'sans-serif'" w:cs="Verdana"/>
          <w:sz w:val="20"/>
          <w:szCs w:val="20"/>
          <w:lang w:val="uk-UA" w:eastAsia="uk-U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інформує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населення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про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стан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здійснення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визначених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законом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повноважень;</w:t>
      </w:r>
    </w:p>
    <w:p w:rsidR="00870013" w:rsidRPr="00DD0BF5" w:rsidRDefault="00870013" w:rsidP="00870013">
      <w:pPr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</w:tabs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sz w:val="20"/>
          <w:szCs w:val="20"/>
          <w:lang w:val="uk-UA" w:eastAsia="uk-UA"/>
        </w:rPr>
        <w:t>31)</w:t>
      </w:r>
      <w:r>
        <w:rPr>
          <w:rFonts w:ascii="'sans-serif'" w:eastAsia="Verdana" w:hAnsi="'sans-serif'" w:cs="Verdana"/>
          <w:sz w:val="20"/>
          <w:szCs w:val="20"/>
          <w:lang w:val="uk-UA" w:eastAsia="uk-U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здійснює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повноваження,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делеговані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Рівненською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обласною</w:t>
      </w:r>
      <w:r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uk-UA"/>
        </w:rPr>
        <w:t>радою;</w:t>
      </w:r>
    </w:p>
    <w:p w:rsidR="00870013" w:rsidRPr="00DD0BF5" w:rsidRDefault="00870013" w:rsidP="00870013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928"/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32)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функції,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випливають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покладених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завдань.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>ІІІ.</w:t>
      </w:r>
      <w:r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>Права</w:t>
      </w:r>
      <w:r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>управління</w:t>
      </w:r>
    </w:p>
    <w:p w:rsidR="00870013" w:rsidRPr="00DD0BF5" w:rsidRDefault="00870013" w:rsidP="00870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15.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для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завдань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має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право: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1)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одержувати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установленому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законодавством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порядку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структурних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підрозділів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місцевого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самоврядування,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підприємств,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незалежно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форми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власності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посадових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осіб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інформацію,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документи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матеріали,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необхідні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для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покладених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нього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завдань;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lastRenderedPageBreak/>
        <w:t>2)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залучати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окремих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робіт,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участі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вивченні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окремих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питань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спеціалістів,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фахівців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структурних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підрозділів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підприємств,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(за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погодженням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керівниками),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представників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громадських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об’єднань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(за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згодою),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утворювати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цією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метою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робочі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групи,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комісії;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3)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вносити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установленому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порядку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пропозиції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удосконалення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роботи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4)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користуватись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установленому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порядку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інформаційними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базами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виконавчої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влади,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системами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зв’язку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комунікацій,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мережами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спеціального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зв’язку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технічними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засобами;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5)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скликати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установленому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порядку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наради,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організовувати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проводити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семінари,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конференції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заходи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питань,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належать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його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компетенції.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16.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установленому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законодавством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порядку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взаємодіє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структурними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підрозділами,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апаратом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місцевого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самоврядування,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територіальними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міністерств,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центральних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виконавчої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влади,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також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підприємствами,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організаціями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метою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створення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умов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для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провадження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послідовної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узгодженої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строків,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періодичності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одержання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передачі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інформації,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необхідної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для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належного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покладених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нього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завдань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запланованих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заходів.</w:t>
      </w:r>
    </w:p>
    <w:p w:rsidR="00870013" w:rsidRPr="00DD0BF5" w:rsidRDefault="00870013" w:rsidP="00870013">
      <w:pPr>
        <w:spacing w:after="0" w:line="232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spacing w:after="0" w:line="232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>IV.</w:t>
      </w:r>
      <w:r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>Організаційно-розпорядча</w:t>
      </w:r>
      <w:r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b/>
          <w:color w:val="000000"/>
          <w:sz w:val="20"/>
          <w:szCs w:val="20"/>
          <w:lang w:val="uk-UA" w:eastAsia="ru-RU"/>
        </w:rPr>
        <w:t>діяльність</w:t>
      </w:r>
    </w:p>
    <w:p w:rsidR="00870013" w:rsidRPr="00DD0BF5" w:rsidRDefault="00870013" w:rsidP="00870013">
      <w:pPr>
        <w:spacing w:after="0" w:line="23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spacing w:after="0" w:line="23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17.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очолює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начальник,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який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призначається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посаду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звільняється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посади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головою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згідно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законодавством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службу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погодженням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Мінекономрозвитку</w:t>
      </w:r>
      <w:proofErr w:type="spellEnd"/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МЗС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установленому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законодавством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порядку.</w:t>
      </w:r>
    </w:p>
    <w:p w:rsidR="00870013" w:rsidRPr="00DD0BF5" w:rsidRDefault="00870013" w:rsidP="00870013">
      <w:pPr>
        <w:spacing w:after="0" w:line="23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18.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Начальник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управління:</w:t>
      </w:r>
    </w:p>
    <w:p w:rsidR="00870013" w:rsidRPr="00DD0BF5" w:rsidRDefault="00870013" w:rsidP="00870013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08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здійснює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керівництво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управлінням,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несе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персональну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відповідальність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результати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його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діяльності,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сприяє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створенню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належних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умов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праці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управлінні;</w:t>
      </w:r>
    </w:p>
    <w:p w:rsidR="00870013" w:rsidRPr="00DD0BF5" w:rsidRDefault="00870013" w:rsidP="00870013">
      <w:pPr>
        <w:tabs>
          <w:tab w:val="num" w:pos="108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08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подає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затвердження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голові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Положення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управління;</w:t>
      </w:r>
    </w:p>
    <w:p w:rsidR="00870013" w:rsidRPr="00DD0BF5" w:rsidRDefault="00870013" w:rsidP="00870013">
      <w:pPr>
        <w:tabs>
          <w:tab w:val="num" w:pos="108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08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3)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затверджує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посадові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інструкції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працівників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розподіляє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обов’язки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ними;</w:t>
      </w:r>
    </w:p>
    <w:p w:rsidR="00870013" w:rsidRPr="00DD0BF5" w:rsidRDefault="00870013" w:rsidP="00870013">
      <w:pPr>
        <w:tabs>
          <w:tab w:val="num" w:pos="108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08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4)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планує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роботу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вносить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пропозиції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формування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планів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роботи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адміністрації;</w:t>
      </w:r>
    </w:p>
    <w:p w:rsidR="00870013" w:rsidRPr="00DD0BF5" w:rsidRDefault="00870013" w:rsidP="00870013">
      <w:pPr>
        <w:tabs>
          <w:tab w:val="num" w:pos="108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08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5)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вживає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заходів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удосконалення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підвищення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ефективності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роботи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управління;</w:t>
      </w:r>
    </w:p>
    <w:p w:rsidR="00870013" w:rsidRPr="00DD0BF5" w:rsidRDefault="00870013" w:rsidP="00870013">
      <w:pPr>
        <w:tabs>
          <w:tab w:val="num" w:pos="108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08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6)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звітує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перед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головою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покладених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завдань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затверджених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планів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роботи;</w:t>
      </w:r>
    </w:p>
    <w:p w:rsidR="00870013" w:rsidRPr="00DD0BF5" w:rsidRDefault="00870013" w:rsidP="00870013">
      <w:pPr>
        <w:tabs>
          <w:tab w:val="num" w:pos="108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08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7)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може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входити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складу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колегії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відповідної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адміністрації;</w:t>
      </w:r>
    </w:p>
    <w:p w:rsidR="00870013" w:rsidRPr="00DD0BF5" w:rsidRDefault="00870013" w:rsidP="00870013">
      <w:pPr>
        <w:tabs>
          <w:tab w:val="num" w:pos="108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08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8)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вносить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пропозиції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розгляду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засіданнях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колегії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питань,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належать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компетенції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розробляє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проекти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відповідних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рішень;</w:t>
      </w:r>
    </w:p>
    <w:p w:rsidR="00870013" w:rsidRPr="00DD0BF5" w:rsidRDefault="00870013" w:rsidP="00870013">
      <w:pPr>
        <w:tabs>
          <w:tab w:val="num" w:pos="108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num" w:pos="108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9)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може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брати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участь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засіданнях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місцевого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самоврядування;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10)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представляє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інтереси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взаємовідносинах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структурними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підрозділами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міністерствами,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центральними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виконавчої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влади,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місцевого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самоврядування,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підприємствами,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організаціями;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11)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видає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своїх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накази,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організовує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контроль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їх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виконанням,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забезпечує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подання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наказів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нормативно-правового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характеру,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які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зачіпають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права,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свободи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інтереси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громадян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або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lastRenderedPageBreak/>
        <w:t>мають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міжвідомчий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характер,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реєстрацію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територіального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Міністерства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юстиції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України;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12)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подає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затвердження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голови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проекти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кошторису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штатного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розпису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визначеної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граничної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чисельності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фонду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оплати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праці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його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працівників;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13)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розпоряджається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коштами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затвердженого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головою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кошторису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управління;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14)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розпоряджається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коштами,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передбаченими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реалізацію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програм;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15)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здійснює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добір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кадрів;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16)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здійснює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питань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служби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роботи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працівників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відповідно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законодавства;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17)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організовує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роботу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підвищення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рівня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професійної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компетентності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службовців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управління;</w:t>
      </w:r>
    </w:p>
    <w:p w:rsidR="00870013" w:rsidRPr="00DD0BF5" w:rsidRDefault="00870013" w:rsidP="00870013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18)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призначає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посаду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звільняє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посади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порядку,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передбаченому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законодавством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про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державну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службу,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державних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службовців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управління,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присвоює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їм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ранги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державних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службовців,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вирішує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питання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про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їх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заохочення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притягнення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дисциплінарної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відповідальності;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19)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приймає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роботу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звільняє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роботи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порядку,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передбаченому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законодавством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про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працю,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працівників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,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які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не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є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державними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службовцями,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приймає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рішення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про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їх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заохочення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притягнення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дисциплінарної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відповідальності;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20)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проводить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особистий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прийом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громадян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питань,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що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належать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повноважень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управління;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21)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забезпечує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дотримання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працівниками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правил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внутрішнього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трудового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розпорядку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виконавської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дисципліни;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tabs>
          <w:tab w:val="left" w:pos="1080"/>
          <w:tab w:val="left" w:pos="1260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>22)</w:t>
      </w:r>
      <w:r>
        <w:rPr>
          <w:rFonts w:ascii="'sans-serif'" w:eastAsia="Verdana" w:hAnsi="'sans-serif'" w:cs="Verdana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здійснює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інші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повноваження,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визначені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законодавством.</w:t>
      </w:r>
    </w:p>
    <w:p w:rsidR="00870013" w:rsidRPr="00DD0BF5" w:rsidRDefault="00870013" w:rsidP="00870013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19.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Начальник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може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мати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заступників,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які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призначаються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посаду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звільняються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посади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відповідно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законодавства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службу.</w:t>
      </w:r>
    </w:p>
    <w:p w:rsidR="00870013" w:rsidRPr="00DD0BF5" w:rsidRDefault="00870013" w:rsidP="00870013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20.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Граничну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чисельність,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фонд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оплати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праці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працівників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визначає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голова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межах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відповідних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бюджетних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призначень.</w:t>
      </w:r>
    </w:p>
    <w:p w:rsidR="00870013" w:rsidRPr="00DD0BF5" w:rsidRDefault="00870013" w:rsidP="00870013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13" w:rsidRPr="00DD0BF5" w:rsidRDefault="00870013" w:rsidP="00870013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21.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Штатний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розпис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кошторис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затверджує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голова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обласної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державної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адміністрації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пропозиціями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начальника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відповідно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Порядку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складання,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розгляду,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затвердження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основних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вимог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до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виконання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кошторисів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бюджетних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установ,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затвердженого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постановою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Кабінету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Міністрів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України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від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28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лютого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2002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року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№</w:t>
      </w:r>
      <w:r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color w:val="000000"/>
          <w:sz w:val="20"/>
          <w:szCs w:val="20"/>
          <w:lang w:val="uk-UA" w:eastAsia="ru-RU"/>
        </w:rPr>
        <w:t>228.</w:t>
      </w:r>
    </w:p>
    <w:p w:rsidR="00870013" w:rsidRPr="00DD0BF5" w:rsidRDefault="00870013" w:rsidP="00870013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00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70013" w:rsidRPr="00DD0BF5" w:rsidRDefault="00870013" w:rsidP="00870013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00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70013" w:rsidRPr="00DD0BF5" w:rsidRDefault="00870013" w:rsidP="00870013">
      <w:pPr>
        <w:tabs>
          <w:tab w:val="left" w:pos="426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Начальник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управління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міжнародного</w:t>
      </w:r>
    </w:p>
    <w:p w:rsidR="00870013" w:rsidRPr="00DD0BF5" w:rsidRDefault="00870013" w:rsidP="00870013">
      <w:pPr>
        <w:tabs>
          <w:tab w:val="left" w:pos="426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співробітництва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та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європейської</w:t>
      </w:r>
    </w:p>
    <w:p w:rsidR="00870013" w:rsidRPr="00DD0BF5" w:rsidRDefault="00870013" w:rsidP="00870013">
      <w:pPr>
        <w:tabs>
          <w:tab w:val="left" w:pos="426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інтеграції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адміністрації</w:t>
      </w:r>
      <w:r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 xml:space="preserve">                                                                   </w:t>
      </w:r>
      <w:r w:rsidRPr="00DD0BF5">
        <w:rPr>
          <w:rFonts w:ascii="'sans-serif'" w:eastAsia="Times New Roman" w:hAnsi="'sans-serif'" w:cs="Times New Roman"/>
          <w:sz w:val="20"/>
          <w:szCs w:val="20"/>
          <w:lang w:val="uk-UA" w:eastAsia="ru-RU"/>
        </w:rPr>
        <w:t>О.МУРАН</w:t>
      </w:r>
    </w:p>
    <w:p w:rsidR="00870013" w:rsidRPr="00DD0BF5" w:rsidRDefault="00870013" w:rsidP="00870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0013" w:rsidRPr="00DD0BF5">
          <w:pgSz w:w="12240" w:h="15840"/>
          <w:pgMar w:top="1134" w:right="850" w:bottom="1134" w:left="1701" w:header="720" w:footer="720" w:gutter="0"/>
          <w:cols w:space="720"/>
        </w:sectPr>
      </w:pPr>
    </w:p>
    <w:p w:rsidR="00870013" w:rsidRDefault="00870013" w:rsidP="00870013">
      <w:pPr>
        <w:pStyle w:val="a3"/>
        <w:spacing w:before="0" w:beforeAutospacing="0" w:after="0" w:afterAutospacing="0"/>
        <w:jc w:val="center"/>
      </w:pPr>
    </w:p>
    <w:sectPr w:rsidR="00870013" w:rsidSect="000A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'sans-serif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0013"/>
    <w:rsid w:val="007944AF"/>
    <w:rsid w:val="00870013"/>
    <w:rsid w:val="00CA6358"/>
    <w:rsid w:val="00F1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0013"/>
    <w:rPr>
      <w:color w:val="0000FF"/>
      <w:u w:val="single"/>
    </w:rPr>
  </w:style>
  <w:style w:type="character" w:styleId="a5">
    <w:name w:val="Strong"/>
    <w:basedOn w:val="a0"/>
    <w:uiPriority w:val="22"/>
    <w:qFormat/>
    <w:rsid w:val="008700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3091</Words>
  <Characters>17619</Characters>
  <Application>Microsoft Office Word</Application>
  <DocSecurity>0</DocSecurity>
  <Lines>146</Lines>
  <Paragraphs>41</Paragraphs>
  <ScaleCrop>false</ScaleCrop>
  <Company>roda</Company>
  <LinksUpToDate>false</LinksUpToDate>
  <CharactersWithSpaces>20669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prld</dc:creator>
  <cp:keywords/>
  <dc:description/>
  <cp:lastModifiedBy>prld</cp:lastModifiedBy>
  <cp:revision>1</cp:revision>
  <dcterms:created xsi:type="dcterms:W3CDTF">2019-10-07T13:13:00Z</dcterms:created>
  <dcterms:modified xsi:type="dcterms:W3CDTF">2019-10-07T13:15:00Z</dcterms:modified>
</cp:coreProperties>
</file>