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659" w:rsidRPr="00EA6659" w:rsidRDefault="00EA6659" w:rsidP="00EA6659">
      <w:pPr>
        <w:jc w:val="center"/>
        <w:rPr>
          <w:b/>
          <w:sz w:val="28"/>
          <w:szCs w:val="28"/>
        </w:rPr>
      </w:pPr>
      <w:r w:rsidRPr="00EA6659">
        <w:rPr>
          <w:b/>
          <w:sz w:val="28"/>
          <w:szCs w:val="28"/>
        </w:rPr>
        <w:t>Звіт</w:t>
      </w:r>
    </w:p>
    <w:p w:rsidR="00EA6659" w:rsidRPr="00EA6659" w:rsidRDefault="00EA6659" w:rsidP="00EA6659">
      <w:pPr>
        <w:jc w:val="center"/>
        <w:rPr>
          <w:b/>
          <w:sz w:val="28"/>
        </w:rPr>
      </w:pPr>
      <w:r w:rsidRPr="00EA6659">
        <w:rPr>
          <w:b/>
          <w:sz w:val="28"/>
          <w:szCs w:val="28"/>
        </w:rPr>
        <w:t xml:space="preserve">про періодичне відстеження результативності регуляторного акта – розпорядження голови </w:t>
      </w:r>
      <w:r w:rsidR="0015552C">
        <w:rPr>
          <w:b/>
          <w:sz w:val="28"/>
          <w:szCs w:val="28"/>
        </w:rPr>
        <w:t xml:space="preserve">Рівненської </w:t>
      </w:r>
      <w:r w:rsidRPr="00EA6659">
        <w:rPr>
          <w:b/>
          <w:sz w:val="28"/>
          <w:szCs w:val="28"/>
        </w:rPr>
        <w:t>обл</w:t>
      </w:r>
      <w:r w:rsidR="00D92E8F">
        <w:rPr>
          <w:b/>
          <w:sz w:val="28"/>
          <w:szCs w:val="28"/>
        </w:rPr>
        <w:t xml:space="preserve">асної </w:t>
      </w:r>
      <w:r w:rsidRPr="00EA6659">
        <w:rPr>
          <w:b/>
          <w:sz w:val="28"/>
          <w:szCs w:val="28"/>
        </w:rPr>
        <w:t>держ</w:t>
      </w:r>
      <w:r w:rsidR="00D92E8F">
        <w:rPr>
          <w:b/>
          <w:sz w:val="28"/>
          <w:szCs w:val="28"/>
        </w:rPr>
        <w:t xml:space="preserve">авної </w:t>
      </w:r>
      <w:r w:rsidRPr="00EA6659">
        <w:rPr>
          <w:b/>
          <w:sz w:val="28"/>
          <w:szCs w:val="28"/>
        </w:rPr>
        <w:t xml:space="preserve">адміністрації </w:t>
      </w:r>
      <w:r w:rsidR="00D92E8F">
        <w:rPr>
          <w:b/>
          <w:sz w:val="28"/>
          <w:szCs w:val="28"/>
        </w:rPr>
        <w:br/>
      </w:r>
      <w:r w:rsidRPr="00EA6659">
        <w:rPr>
          <w:b/>
          <w:sz w:val="28"/>
          <w:szCs w:val="28"/>
        </w:rPr>
        <w:t xml:space="preserve">від </w:t>
      </w:r>
      <w:r w:rsidR="00A65342">
        <w:rPr>
          <w:b/>
          <w:sz w:val="28"/>
        </w:rPr>
        <w:t>24 жовтня 2007 року № 508</w:t>
      </w:r>
      <w:r w:rsidRPr="00EA6659">
        <w:rPr>
          <w:b/>
          <w:sz w:val="28"/>
        </w:rPr>
        <w:t xml:space="preserve"> «Про </w:t>
      </w:r>
      <w:r w:rsidR="00A65342">
        <w:rPr>
          <w:b/>
          <w:sz w:val="28"/>
        </w:rPr>
        <w:t>внесення змін до розпорядження голови обласної державної адміністрації від 27.06.2007 № 320»,</w:t>
      </w:r>
      <w:r w:rsidR="00D92E8F">
        <w:rPr>
          <w:b/>
          <w:sz w:val="28"/>
        </w:rPr>
        <w:br/>
      </w:r>
      <w:r w:rsidRPr="00EA6659">
        <w:rPr>
          <w:b/>
          <w:sz w:val="28"/>
        </w:rPr>
        <w:t xml:space="preserve">зареєстрованого в Головному управлінні юстиції у Рівненській області </w:t>
      </w:r>
      <w:r w:rsidR="00D92E8F">
        <w:rPr>
          <w:b/>
          <w:sz w:val="28"/>
        </w:rPr>
        <w:br/>
      </w:r>
      <w:r w:rsidR="00A65342">
        <w:rPr>
          <w:b/>
          <w:sz w:val="28"/>
        </w:rPr>
        <w:t>25 жовтня</w:t>
      </w:r>
      <w:r w:rsidRPr="00EA6659">
        <w:rPr>
          <w:b/>
          <w:sz w:val="28"/>
        </w:rPr>
        <w:t xml:space="preserve"> 2007 року за №</w:t>
      </w:r>
      <w:r w:rsidR="00E60E5F">
        <w:rPr>
          <w:b/>
          <w:sz w:val="28"/>
        </w:rPr>
        <w:t xml:space="preserve"> </w:t>
      </w:r>
      <w:r w:rsidR="00A65342">
        <w:rPr>
          <w:b/>
          <w:sz w:val="28"/>
        </w:rPr>
        <w:t>55/768</w:t>
      </w:r>
    </w:p>
    <w:p w:rsidR="00EA6659" w:rsidRDefault="00EA6659" w:rsidP="00B41796">
      <w:pPr>
        <w:rPr>
          <w:sz w:val="28"/>
        </w:rPr>
      </w:pPr>
    </w:p>
    <w:p w:rsidR="00EA6659" w:rsidRPr="00EA6659" w:rsidRDefault="00EA6659" w:rsidP="00EA6659">
      <w:pPr>
        <w:numPr>
          <w:ilvl w:val="1"/>
          <w:numId w:val="1"/>
        </w:numPr>
        <w:tabs>
          <w:tab w:val="clear" w:pos="2160"/>
          <w:tab w:val="left" w:pos="993"/>
        </w:tabs>
        <w:ind w:left="0" w:firstLine="709"/>
        <w:jc w:val="both"/>
        <w:rPr>
          <w:b/>
          <w:sz w:val="28"/>
          <w:szCs w:val="28"/>
        </w:rPr>
      </w:pPr>
      <w:r w:rsidRPr="00EA6659">
        <w:rPr>
          <w:b/>
          <w:sz w:val="28"/>
          <w:szCs w:val="28"/>
        </w:rPr>
        <w:t>Вид та назва регуляторного акта</w:t>
      </w:r>
    </w:p>
    <w:p w:rsidR="00EA6659" w:rsidRPr="00EA6659" w:rsidRDefault="00EA6659" w:rsidP="00EA6659">
      <w:pPr>
        <w:tabs>
          <w:tab w:val="left" w:pos="993"/>
        </w:tabs>
        <w:ind w:firstLine="709"/>
        <w:jc w:val="both"/>
        <w:rPr>
          <w:sz w:val="28"/>
        </w:rPr>
      </w:pPr>
      <w:r w:rsidRPr="00EA6659">
        <w:rPr>
          <w:sz w:val="28"/>
        </w:rPr>
        <w:t xml:space="preserve">Розпорядження голови </w:t>
      </w:r>
      <w:r w:rsidR="0015552C">
        <w:rPr>
          <w:sz w:val="28"/>
        </w:rPr>
        <w:t xml:space="preserve">Рівненської </w:t>
      </w:r>
      <w:r w:rsidRPr="00EA6659">
        <w:rPr>
          <w:sz w:val="28"/>
        </w:rPr>
        <w:t>обл</w:t>
      </w:r>
      <w:r w:rsidR="00D92E8F">
        <w:rPr>
          <w:sz w:val="28"/>
        </w:rPr>
        <w:t xml:space="preserve">асної </w:t>
      </w:r>
      <w:r w:rsidRPr="00EA6659">
        <w:rPr>
          <w:sz w:val="28"/>
        </w:rPr>
        <w:t>держ</w:t>
      </w:r>
      <w:r w:rsidR="00D92E8F">
        <w:rPr>
          <w:sz w:val="28"/>
        </w:rPr>
        <w:t xml:space="preserve">авної </w:t>
      </w:r>
      <w:r w:rsidR="00A65342">
        <w:rPr>
          <w:sz w:val="28"/>
        </w:rPr>
        <w:t xml:space="preserve">адміністрації від </w:t>
      </w:r>
      <w:r w:rsidR="0015552C">
        <w:rPr>
          <w:sz w:val="28"/>
        </w:rPr>
        <w:br/>
      </w:r>
      <w:r w:rsidR="00A65342">
        <w:rPr>
          <w:sz w:val="28"/>
        </w:rPr>
        <w:t>24</w:t>
      </w:r>
      <w:r w:rsidRPr="00EA6659">
        <w:rPr>
          <w:sz w:val="28"/>
        </w:rPr>
        <w:t xml:space="preserve"> </w:t>
      </w:r>
      <w:r w:rsidR="00A65342">
        <w:rPr>
          <w:sz w:val="28"/>
        </w:rPr>
        <w:t>жовтня</w:t>
      </w:r>
      <w:r w:rsidRPr="00EA6659">
        <w:rPr>
          <w:sz w:val="28"/>
        </w:rPr>
        <w:t xml:space="preserve"> </w:t>
      </w:r>
      <w:r w:rsidR="00A65342">
        <w:rPr>
          <w:sz w:val="28"/>
        </w:rPr>
        <w:t>2007 року № 508</w:t>
      </w:r>
      <w:r w:rsidRPr="00EA6659">
        <w:rPr>
          <w:sz w:val="28"/>
        </w:rPr>
        <w:t xml:space="preserve"> «Про </w:t>
      </w:r>
      <w:r w:rsidR="00A65342">
        <w:rPr>
          <w:sz w:val="28"/>
        </w:rPr>
        <w:t>внесення</w:t>
      </w:r>
      <w:r w:rsidRPr="00EA6659">
        <w:rPr>
          <w:sz w:val="28"/>
        </w:rPr>
        <w:t xml:space="preserve"> змін</w:t>
      </w:r>
      <w:r w:rsidR="00A65342">
        <w:rPr>
          <w:sz w:val="28"/>
        </w:rPr>
        <w:t xml:space="preserve"> до розпорядження голови обласної державної адміністрації від 27.06.2007 № 320»</w:t>
      </w:r>
      <w:r w:rsidR="00091449">
        <w:rPr>
          <w:sz w:val="28"/>
        </w:rPr>
        <w:t xml:space="preserve"> (далі – розпорядження)</w:t>
      </w:r>
      <w:r w:rsidRPr="00EA6659">
        <w:rPr>
          <w:sz w:val="28"/>
        </w:rPr>
        <w:t>.</w:t>
      </w:r>
    </w:p>
    <w:p w:rsidR="00EA6659" w:rsidRPr="00CA7548" w:rsidRDefault="00EA6659" w:rsidP="00EA6659">
      <w:pPr>
        <w:tabs>
          <w:tab w:val="left" w:pos="993"/>
        </w:tabs>
        <w:ind w:firstLine="709"/>
        <w:jc w:val="both"/>
        <w:rPr>
          <w:sz w:val="28"/>
          <w:szCs w:val="28"/>
        </w:rPr>
      </w:pPr>
    </w:p>
    <w:p w:rsidR="00EA6659" w:rsidRPr="00EA6659" w:rsidRDefault="00EA6659" w:rsidP="00EA6659">
      <w:pPr>
        <w:numPr>
          <w:ilvl w:val="1"/>
          <w:numId w:val="1"/>
        </w:numPr>
        <w:tabs>
          <w:tab w:val="clear" w:pos="2160"/>
          <w:tab w:val="left" w:pos="993"/>
        </w:tabs>
        <w:ind w:left="0" w:firstLine="709"/>
        <w:jc w:val="both"/>
        <w:rPr>
          <w:b/>
          <w:sz w:val="28"/>
          <w:szCs w:val="28"/>
        </w:rPr>
      </w:pPr>
      <w:r w:rsidRPr="00EA6659">
        <w:rPr>
          <w:b/>
          <w:bCs/>
          <w:sz w:val="28"/>
          <w:szCs w:val="28"/>
        </w:rPr>
        <w:t>Назва виконавця заходів з відстеження результативності</w:t>
      </w:r>
    </w:p>
    <w:p w:rsidR="00EA6659" w:rsidRPr="00EA6659" w:rsidRDefault="00EA6659" w:rsidP="00EA6659">
      <w:pPr>
        <w:tabs>
          <w:tab w:val="left" w:pos="993"/>
        </w:tabs>
        <w:ind w:firstLine="709"/>
        <w:jc w:val="both"/>
        <w:rPr>
          <w:bCs/>
          <w:sz w:val="28"/>
          <w:szCs w:val="28"/>
        </w:rPr>
      </w:pPr>
      <w:r w:rsidRPr="00EA6659">
        <w:rPr>
          <w:bCs/>
          <w:sz w:val="28"/>
          <w:szCs w:val="28"/>
        </w:rPr>
        <w:t>Департамент економічного розвитку і торгівлі облдержадміністрації.</w:t>
      </w:r>
    </w:p>
    <w:p w:rsidR="00EA6659" w:rsidRPr="00CA7548" w:rsidRDefault="00EA6659" w:rsidP="00EA6659">
      <w:pPr>
        <w:tabs>
          <w:tab w:val="left" w:pos="993"/>
        </w:tabs>
        <w:ind w:firstLine="709"/>
        <w:jc w:val="both"/>
        <w:rPr>
          <w:bCs/>
          <w:sz w:val="28"/>
          <w:szCs w:val="28"/>
        </w:rPr>
      </w:pPr>
    </w:p>
    <w:p w:rsidR="00EA6659" w:rsidRPr="00EA6659" w:rsidRDefault="00EA6659" w:rsidP="00EA6659">
      <w:pPr>
        <w:numPr>
          <w:ilvl w:val="1"/>
          <w:numId w:val="1"/>
        </w:numPr>
        <w:tabs>
          <w:tab w:val="clear" w:pos="2160"/>
          <w:tab w:val="left" w:pos="993"/>
        </w:tabs>
        <w:ind w:left="0" w:firstLine="709"/>
        <w:jc w:val="both"/>
        <w:rPr>
          <w:b/>
          <w:sz w:val="28"/>
          <w:szCs w:val="28"/>
        </w:rPr>
      </w:pPr>
      <w:r w:rsidRPr="00EA6659">
        <w:rPr>
          <w:b/>
          <w:bCs/>
          <w:sz w:val="28"/>
          <w:szCs w:val="28"/>
        </w:rPr>
        <w:t>Цілі прийняття акта</w:t>
      </w:r>
    </w:p>
    <w:p w:rsidR="00EA6659" w:rsidRPr="00EA6659" w:rsidRDefault="00E50EB1" w:rsidP="00EA6659">
      <w:pPr>
        <w:tabs>
          <w:tab w:val="left" w:pos="993"/>
        </w:tabs>
        <w:ind w:firstLine="709"/>
        <w:jc w:val="both"/>
        <w:rPr>
          <w:sz w:val="28"/>
        </w:rPr>
      </w:pPr>
      <w:r w:rsidRPr="00E50EB1">
        <w:rPr>
          <w:sz w:val="28"/>
        </w:rPr>
        <w:t xml:space="preserve">Запровадження прозорого регулювання цін на </w:t>
      </w:r>
      <w:r w:rsidR="00B83410">
        <w:rPr>
          <w:sz w:val="28"/>
        </w:rPr>
        <w:t>окремі паливно-енергетичні ресурси</w:t>
      </w:r>
      <w:r w:rsidRPr="00E50EB1">
        <w:rPr>
          <w:sz w:val="28"/>
        </w:rPr>
        <w:t>, що реалізуються населенню для побутових потреб.</w:t>
      </w:r>
    </w:p>
    <w:p w:rsidR="00EA6659" w:rsidRPr="00CA7548" w:rsidRDefault="00EA6659" w:rsidP="00EA6659">
      <w:pPr>
        <w:tabs>
          <w:tab w:val="left" w:pos="993"/>
        </w:tabs>
        <w:ind w:firstLine="709"/>
        <w:jc w:val="both"/>
        <w:rPr>
          <w:sz w:val="28"/>
          <w:szCs w:val="28"/>
        </w:rPr>
      </w:pPr>
    </w:p>
    <w:p w:rsidR="00EA6659" w:rsidRPr="00EA6659" w:rsidRDefault="00EA6659" w:rsidP="00EA6659">
      <w:pPr>
        <w:numPr>
          <w:ilvl w:val="1"/>
          <w:numId w:val="1"/>
        </w:numPr>
        <w:tabs>
          <w:tab w:val="clear" w:pos="2160"/>
          <w:tab w:val="left" w:pos="993"/>
        </w:tabs>
        <w:ind w:left="0" w:firstLine="709"/>
        <w:jc w:val="both"/>
        <w:rPr>
          <w:b/>
          <w:sz w:val="28"/>
          <w:szCs w:val="28"/>
        </w:rPr>
      </w:pPr>
      <w:r w:rsidRPr="00EA6659">
        <w:rPr>
          <w:b/>
          <w:bCs/>
          <w:sz w:val="28"/>
          <w:szCs w:val="28"/>
        </w:rPr>
        <w:t>Строк виконання заходів з відстеження результативності</w:t>
      </w:r>
    </w:p>
    <w:p w:rsidR="00EA6659" w:rsidRPr="00EA6659" w:rsidRDefault="00E50EB1" w:rsidP="00EA6659">
      <w:pPr>
        <w:tabs>
          <w:tab w:val="left" w:pos="993"/>
        </w:tabs>
        <w:ind w:firstLine="709"/>
        <w:jc w:val="both"/>
        <w:rPr>
          <w:bCs/>
          <w:sz w:val="28"/>
          <w:szCs w:val="28"/>
        </w:rPr>
      </w:pPr>
      <w:r>
        <w:rPr>
          <w:bCs/>
          <w:sz w:val="28"/>
          <w:szCs w:val="28"/>
        </w:rPr>
        <w:t>З 06</w:t>
      </w:r>
      <w:r w:rsidR="00EA6659" w:rsidRPr="00EA6659">
        <w:rPr>
          <w:bCs/>
          <w:sz w:val="28"/>
          <w:szCs w:val="28"/>
        </w:rPr>
        <w:t xml:space="preserve"> </w:t>
      </w:r>
      <w:r>
        <w:rPr>
          <w:bCs/>
          <w:sz w:val="28"/>
          <w:szCs w:val="28"/>
        </w:rPr>
        <w:t>листопада</w:t>
      </w:r>
      <w:r w:rsidR="00EA6659" w:rsidRPr="00EA6659">
        <w:rPr>
          <w:bCs/>
          <w:sz w:val="28"/>
          <w:szCs w:val="28"/>
        </w:rPr>
        <w:t xml:space="preserve"> </w:t>
      </w:r>
      <w:r>
        <w:rPr>
          <w:bCs/>
          <w:sz w:val="28"/>
          <w:szCs w:val="28"/>
        </w:rPr>
        <w:t xml:space="preserve">2023 року </w:t>
      </w:r>
      <w:r w:rsidR="00EA6659" w:rsidRPr="00EA6659">
        <w:rPr>
          <w:bCs/>
          <w:sz w:val="28"/>
          <w:szCs w:val="28"/>
        </w:rPr>
        <w:t xml:space="preserve">по </w:t>
      </w:r>
      <w:r>
        <w:rPr>
          <w:bCs/>
          <w:sz w:val="28"/>
          <w:szCs w:val="28"/>
        </w:rPr>
        <w:t>05</w:t>
      </w:r>
      <w:r w:rsidR="00EA6659" w:rsidRPr="00EA6659">
        <w:rPr>
          <w:bCs/>
          <w:sz w:val="28"/>
          <w:szCs w:val="28"/>
        </w:rPr>
        <w:t xml:space="preserve"> </w:t>
      </w:r>
      <w:r>
        <w:rPr>
          <w:bCs/>
          <w:sz w:val="28"/>
          <w:szCs w:val="28"/>
        </w:rPr>
        <w:t>січня</w:t>
      </w:r>
      <w:r w:rsidR="00E433CE">
        <w:rPr>
          <w:bCs/>
          <w:sz w:val="28"/>
          <w:szCs w:val="28"/>
        </w:rPr>
        <w:t xml:space="preserve"> 202</w:t>
      </w:r>
      <w:r>
        <w:rPr>
          <w:bCs/>
          <w:sz w:val="28"/>
          <w:szCs w:val="28"/>
        </w:rPr>
        <w:t>4</w:t>
      </w:r>
      <w:r w:rsidR="00EA6659" w:rsidRPr="00EA6659">
        <w:rPr>
          <w:bCs/>
          <w:sz w:val="28"/>
          <w:szCs w:val="28"/>
        </w:rPr>
        <w:t xml:space="preserve"> року.</w:t>
      </w:r>
    </w:p>
    <w:p w:rsidR="00EA6659" w:rsidRPr="00CA7548" w:rsidRDefault="00EA6659" w:rsidP="00EA6659">
      <w:pPr>
        <w:tabs>
          <w:tab w:val="left" w:pos="993"/>
        </w:tabs>
        <w:ind w:firstLine="709"/>
        <w:jc w:val="both"/>
        <w:rPr>
          <w:sz w:val="28"/>
          <w:szCs w:val="28"/>
        </w:rPr>
      </w:pPr>
    </w:p>
    <w:p w:rsidR="00EA6659" w:rsidRPr="00EA6659" w:rsidRDefault="00EA6659" w:rsidP="00EA6659">
      <w:pPr>
        <w:numPr>
          <w:ilvl w:val="1"/>
          <w:numId w:val="1"/>
        </w:numPr>
        <w:tabs>
          <w:tab w:val="clear" w:pos="2160"/>
          <w:tab w:val="left" w:pos="993"/>
        </w:tabs>
        <w:ind w:left="0" w:firstLine="709"/>
        <w:jc w:val="both"/>
        <w:rPr>
          <w:b/>
          <w:sz w:val="28"/>
          <w:szCs w:val="28"/>
        </w:rPr>
      </w:pPr>
      <w:r w:rsidRPr="00EA6659">
        <w:rPr>
          <w:b/>
          <w:sz w:val="28"/>
          <w:szCs w:val="28"/>
        </w:rPr>
        <w:t>Тип відстеження</w:t>
      </w:r>
    </w:p>
    <w:p w:rsidR="00EA6659" w:rsidRPr="00EA6659" w:rsidRDefault="00EA6659" w:rsidP="00EA6659">
      <w:pPr>
        <w:tabs>
          <w:tab w:val="left" w:pos="993"/>
        </w:tabs>
        <w:ind w:firstLine="709"/>
        <w:jc w:val="both"/>
        <w:rPr>
          <w:sz w:val="28"/>
          <w:szCs w:val="28"/>
        </w:rPr>
      </w:pPr>
      <w:r w:rsidRPr="00EA6659">
        <w:rPr>
          <w:sz w:val="28"/>
          <w:szCs w:val="28"/>
        </w:rPr>
        <w:t>Періодичне відстеження.</w:t>
      </w:r>
    </w:p>
    <w:p w:rsidR="00EA6659" w:rsidRPr="00CA7548" w:rsidRDefault="00EA6659" w:rsidP="00EA6659">
      <w:pPr>
        <w:tabs>
          <w:tab w:val="left" w:pos="993"/>
        </w:tabs>
        <w:ind w:firstLine="709"/>
        <w:jc w:val="both"/>
        <w:rPr>
          <w:sz w:val="28"/>
          <w:szCs w:val="28"/>
        </w:rPr>
      </w:pPr>
    </w:p>
    <w:p w:rsidR="00EA6659" w:rsidRPr="00EA6659" w:rsidRDefault="00EA6659" w:rsidP="00EA6659">
      <w:pPr>
        <w:numPr>
          <w:ilvl w:val="1"/>
          <w:numId w:val="1"/>
        </w:numPr>
        <w:tabs>
          <w:tab w:val="clear" w:pos="2160"/>
          <w:tab w:val="left" w:pos="993"/>
        </w:tabs>
        <w:ind w:left="0" w:firstLine="709"/>
        <w:jc w:val="both"/>
        <w:rPr>
          <w:b/>
          <w:sz w:val="28"/>
          <w:szCs w:val="28"/>
        </w:rPr>
      </w:pPr>
      <w:r w:rsidRPr="00EA6659">
        <w:rPr>
          <w:b/>
          <w:bCs/>
          <w:sz w:val="28"/>
          <w:szCs w:val="28"/>
        </w:rPr>
        <w:t>Методи одержання результатів відстеження</w:t>
      </w:r>
    </w:p>
    <w:p w:rsidR="00EA6659" w:rsidRPr="00EA6659" w:rsidRDefault="003E0078" w:rsidP="00EA6659">
      <w:pPr>
        <w:tabs>
          <w:tab w:val="left" w:pos="993"/>
        </w:tabs>
        <w:ind w:firstLine="709"/>
        <w:jc w:val="both"/>
        <w:rPr>
          <w:sz w:val="28"/>
        </w:rPr>
      </w:pPr>
      <w:r>
        <w:rPr>
          <w:sz w:val="28"/>
          <w:szCs w:val="28"/>
        </w:rPr>
        <w:t>Статистичний метод</w:t>
      </w:r>
      <w:r w:rsidR="00BB042F">
        <w:rPr>
          <w:sz w:val="28"/>
        </w:rPr>
        <w:t>.</w:t>
      </w:r>
    </w:p>
    <w:p w:rsidR="00EA6659" w:rsidRPr="00CA7548" w:rsidRDefault="00EA6659" w:rsidP="00EA6659">
      <w:pPr>
        <w:tabs>
          <w:tab w:val="left" w:pos="993"/>
        </w:tabs>
        <w:ind w:firstLine="709"/>
        <w:jc w:val="both"/>
        <w:rPr>
          <w:sz w:val="28"/>
          <w:szCs w:val="28"/>
        </w:rPr>
      </w:pPr>
    </w:p>
    <w:p w:rsidR="00EA6659" w:rsidRPr="00EA6659" w:rsidRDefault="00EA6659" w:rsidP="00EA6659">
      <w:pPr>
        <w:numPr>
          <w:ilvl w:val="1"/>
          <w:numId w:val="1"/>
        </w:numPr>
        <w:tabs>
          <w:tab w:val="clear" w:pos="2160"/>
          <w:tab w:val="left" w:pos="993"/>
        </w:tabs>
        <w:ind w:left="0" w:firstLine="709"/>
        <w:jc w:val="both"/>
        <w:rPr>
          <w:b/>
          <w:sz w:val="28"/>
          <w:szCs w:val="28"/>
        </w:rPr>
      </w:pPr>
      <w:r w:rsidRPr="00EA6659">
        <w:rPr>
          <w:b/>
          <w:bCs/>
          <w:sz w:val="28"/>
          <w:szCs w:val="28"/>
        </w:rPr>
        <w:t>Дані та припущення, на основі яких відстежувалася результативність, а також способи одержання даних</w:t>
      </w:r>
    </w:p>
    <w:p w:rsidR="00EA6659" w:rsidRPr="00EA6659" w:rsidRDefault="00EA6659" w:rsidP="00EA6659">
      <w:pPr>
        <w:tabs>
          <w:tab w:val="left" w:pos="993"/>
        </w:tabs>
        <w:ind w:firstLine="709"/>
        <w:jc w:val="both"/>
        <w:rPr>
          <w:sz w:val="28"/>
        </w:rPr>
      </w:pPr>
      <w:r w:rsidRPr="00EA6659">
        <w:rPr>
          <w:sz w:val="28"/>
        </w:rPr>
        <w:t xml:space="preserve">Періодичне відстеження результативності </w:t>
      </w:r>
      <w:r w:rsidR="00091449">
        <w:rPr>
          <w:sz w:val="28"/>
        </w:rPr>
        <w:t>регуляторного акта</w:t>
      </w:r>
      <w:r w:rsidRPr="00EA6659">
        <w:rPr>
          <w:sz w:val="28"/>
        </w:rPr>
        <w:t xml:space="preserve"> здійснено на підставі </w:t>
      </w:r>
      <w:r w:rsidR="003E0078">
        <w:rPr>
          <w:sz w:val="28"/>
        </w:rPr>
        <w:t xml:space="preserve">аналізу </w:t>
      </w:r>
      <w:r w:rsidR="00C937BD">
        <w:rPr>
          <w:sz w:val="28"/>
        </w:rPr>
        <w:t>інформацій</w:t>
      </w:r>
      <w:r w:rsidRPr="00EA6659">
        <w:rPr>
          <w:sz w:val="28"/>
        </w:rPr>
        <w:t xml:space="preserve"> </w:t>
      </w:r>
      <w:r w:rsidR="00C937BD">
        <w:rPr>
          <w:sz w:val="28"/>
        </w:rPr>
        <w:t>суб’єктів господарювання</w:t>
      </w:r>
      <w:r w:rsidR="00E50EB1">
        <w:rPr>
          <w:sz w:val="28"/>
        </w:rPr>
        <w:t xml:space="preserve"> </w:t>
      </w:r>
      <w:r w:rsidR="001545A9">
        <w:rPr>
          <w:sz w:val="28"/>
        </w:rPr>
        <w:t xml:space="preserve">та </w:t>
      </w:r>
      <w:r w:rsidR="003E0078">
        <w:rPr>
          <w:sz w:val="28"/>
        </w:rPr>
        <w:t xml:space="preserve">Головного управління </w:t>
      </w:r>
      <w:proofErr w:type="spellStart"/>
      <w:r w:rsidR="003E0078">
        <w:rPr>
          <w:sz w:val="28"/>
        </w:rPr>
        <w:t>Дежпродспоживслужби</w:t>
      </w:r>
      <w:proofErr w:type="spellEnd"/>
      <w:r w:rsidR="003E0078">
        <w:rPr>
          <w:sz w:val="28"/>
        </w:rPr>
        <w:t xml:space="preserve"> в Рівненській області.</w:t>
      </w:r>
    </w:p>
    <w:p w:rsidR="00EA6659" w:rsidRPr="00CA7548" w:rsidRDefault="00EA6659" w:rsidP="00EA6659">
      <w:pPr>
        <w:tabs>
          <w:tab w:val="left" w:pos="993"/>
        </w:tabs>
        <w:ind w:firstLine="709"/>
        <w:jc w:val="both"/>
        <w:rPr>
          <w:sz w:val="28"/>
          <w:szCs w:val="28"/>
        </w:rPr>
      </w:pPr>
    </w:p>
    <w:p w:rsidR="00EA6659" w:rsidRPr="00EA6659" w:rsidRDefault="00EA6659" w:rsidP="00EA6659">
      <w:pPr>
        <w:numPr>
          <w:ilvl w:val="1"/>
          <w:numId w:val="1"/>
        </w:numPr>
        <w:tabs>
          <w:tab w:val="clear" w:pos="2160"/>
          <w:tab w:val="left" w:pos="993"/>
        </w:tabs>
        <w:ind w:left="0" w:firstLine="709"/>
        <w:jc w:val="both"/>
        <w:rPr>
          <w:b/>
          <w:sz w:val="28"/>
          <w:szCs w:val="28"/>
        </w:rPr>
      </w:pPr>
      <w:r w:rsidRPr="00EA6659">
        <w:rPr>
          <w:b/>
          <w:bCs/>
          <w:sz w:val="28"/>
          <w:szCs w:val="28"/>
        </w:rPr>
        <w:t>Кількісні та якісні значення показників результативності</w:t>
      </w:r>
    </w:p>
    <w:p w:rsidR="00DC2F53" w:rsidRPr="00741AF7" w:rsidRDefault="00741AF7" w:rsidP="00EA6659">
      <w:pPr>
        <w:tabs>
          <w:tab w:val="left" w:pos="993"/>
        </w:tabs>
        <w:ind w:firstLine="709"/>
        <w:jc w:val="both"/>
        <w:rPr>
          <w:sz w:val="28"/>
        </w:rPr>
      </w:pPr>
      <w:r w:rsidRPr="00741AF7">
        <w:rPr>
          <w:sz w:val="28"/>
        </w:rPr>
        <w:t>Згідно з</w:t>
      </w:r>
      <w:r w:rsidR="00607EBC" w:rsidRPr="00741AF7">
        <w:rPr>
          <w:sz w:val="28"/>
        </w:rPr>
        <w:t xml:space="preserve"> наявною інформацією, діяльність з видобутку торфу</w:t>
      </w:r>
      <w:r w:rsidR="00FF6424">
        <w:rPr>
          <w:sz w:val="28"/>
        </w:rPr>
        <w:t xml:space="preserve"> паливного</w:t>
      </w:r>
      <w:r w:rsidR="00607EBC" w:rsidRPr="00741AF7">
        <w:rPr>
          <w:sz w:val="28"/>
        </w:rPr>
        <w:t xml:space="preserve">, виробництва та реалізації </w:t>
      </w:r>
      <w:proofErr w:type="spellStart"/>
      <w:r w:rsidR="00607EBC" w:rsidRPr="00741AF7">
        <w:rPr>
          <w:sz w:val="28"/>
        </w:rPr>
        <w:t>торфопродукції</w:t>
      </w:r>
      <w:proofErr w:type="spellEnd"/>
      <w:r w:rsidR="00DC2F53" w:rsidRPr="00741AF7">
        <w:rPr>
          <w:sz w:val="28"/>
        </w:rPr>
        <w:t xml:space="preserve"> </w:t>
      </w:r>
      <w:r w:rsidR="00FE4ADD" w:rsidRPr="00741AF7">
        <w:rPr>
          <w:sz w:val="28"/>
        </w:rPr>
        <w:t xml:space="preserve">для побутових потреб населення </w:t>
      </w:r>
      <w:r w:rsidR="00607EBC" w:rsidRPr="00741AF7">
        <w:rPr>
          <w:sz w:val="28"/>
        </w:rPr>
        <w:t xml:space="preserve">у 2021-2023 роках здійснювалася </w:t>
      </w:r>
      <w:r w:rsidR="007A5813" w:rsidRPr="00741AF7">
        <w:rPr>
          <w:sz w:val="28"/>
        </w:rPr>
        <w:t xml:space="preserve">ДП </w:t>
      </w:r>
      <w:r w:rsidR="000C7E22" w:rsidRPr="00741AF7">
        <w:rPr>
          <w:sz w:val="28"/>
        </w:rPr>
        <w:t>«Рівнеторф»</w:t>
      </w:r>
      <w:r w:rsidR="007A5813" w:rsidRPr="00741AF7">
        <w:rPr>
          <w:sz w:val="28"/>
        </w:rPr>
        <w:t>, ТОВ «</w:t>
      </w:r>
      <w:proofErr w:type="spellStart"/>
      <w:r w:rsidR="007A5813" w:rsidRPr="00741AF7">
        <w:rPr>
          <w:sz w:val="28"/>
        </w:rPr>
        <w:t>Рівнеенергоальянс</w:t>
      </w:r>
      <w:proofErr w:type="spellEnd"/>
      <w:r w:rsidR="007A5813" w:rsidRPr="00741AF7">
        <w:rPr>
          <w:sz w:val="28"/>
        </w:rPr>
        <w:t xml:space="preserve">» та ТОВ «Ленд </w:t>
      </w:r>
      <w:proofErr w:type="spellStart"/>
      <w:r w:rsidR="007A5813" w:rsidRPr="00741AF7">
        <w:rPr>
          <w:sz w:val="28"/>
        </w:rPr>
        <w:t>Гроу</w:t>
      </w:r>
      <w:proofErr w:type="spellEnd"/>
      <w:r w:rsidR="007A5813" w:rsidRPr="00741AF7">
        <w:rPr>
          <w:sz w:val="28"/>
        </w:rPr>
        <w:t>».</w:t>
      </w:r>
    </w:p>
    <w:p w:rsidR="007A5813" w:rsidRPr="00741AF7" w:rsidRDefault="00741AF7" w:rsidP="00741AF7">
      <w:pPr>
        <w:tabs>
          <w:tab w:val="left" w:pos="993"/>
        </w:tabs>
        <w:ind w:firstLine="709"/>
        <w:jc w:val="both"/>
        <w:rPr>
          <w:sz w:val="28"/>
        </w:rPr>
      </w:pPr>
      <w:r w:rsidRPr="00741AF7">
        <w:rPr>
          <w:sz w:val="28"/>
        </w:rPr>
        <w:t>За результатами аукціону, який відбувся 05.07.2023, єдиний майновий комплекс ДП «Рівнеторф» придбано ТОВ «</w:t>
      </w:r>
      <w:r>
        <w:rPr>
          <w:sz w:val="28"/>
        </w:rPr>
        <w:t>Ленд</w:t>
      </w:r>
      <w:r w:rsidRPr="00741AF7">
        <w:rPr>
          <w:sz w:val="28"/>
        </w:rPr>
        <w:t xml:space="preserve"> </w:t>
      </w:r>
      <w:proofErr w:type="spellStart"/>
      <w:r w:rsidRPr="00741AF7">
        <w:rPr>
          <w:sz w:val="28"/>
        </w:rPr>
        <w:t>Г</w:t>
      </w:r>
      <w:r>
        <w:rPr>
          <w:sz w:val="28"/>
        </w:rPr>
        <w:t>роу</w:t>
      </w:r>
      <w:proofErr w:type="spellEnd"/>
      <w:r w:rsidRPr="00741AF7">
        <w:rPr>
          <w:sz w:val="28"/>
        </w:rPr>
        <w:t>» (договір купівлі-продажу від 03.08.2023 № 2235).</w:t>
      </w:r>
      <w:r>
        <w:rPr>
          <w:sz w:val="28"/>
        </w:rPr>
        <w:t xml:space="preserve"> ДП «Рівнеторф» </w:t>
      </w:r>
      <w:r w:rsidR="0022054E">
        <w:rPr>
          <w:sz w:val="28"/>
        </w:rPr>
        <w:t>перебуває</w:t>
      </w:r>
      <w:r>
        <w:rPr>
          <w:sz w:val="28"/>
        </w:rPr>
        <w:t xml:space="preserve"> в </w:t>
      </w:r>
      <w:r w:rsidR="0022054E">
        <w:rPr>
          <w:sz w:val="28"/>
        </w:rPr>
        <w:t>стані припинення</w:t>
      </w:r>
      <w:r>
        <w:rPr>
          <w:sz w:val="28"/>
        </w:rPr>
        <w:t xml:space="preserve"> шляхом приєднання до ТОВ «Ленд </w:t>
      </w:r>
      <w:proofErr w:type="spellStart"/>
      <w:r>
        <w:rPr>
          <w:sz w:val="28"/>
        </w:rPr>
        <w:t>Гроу</w:t>
      </w:r>
      <w:proofErr w:type="spellEnd"/>
      <w:r>
        <w:rPr>
          <w:sz w:val="28"/>
        </w:rPr>
        <w:t>».</w:t>
      </w:r>
    </w:p>
    <w:p w:rsidR="00252CA6" w:rsidRPr="00AB7EC1" w:rsidRDefault="00741AF7" w:rsidP="00EA6659">
      <w:pPr>
        <w:tabs>
          <w:tab w:val="left" w:pos="993"/>
        </w:tabs>
        <w:ind w:firstLine="709"/>
        <w:jc w:val="both"/>
        <w:rPr>
          <w:sz w:val="28"/>
        </w:rPr>
      </w:pPr>
      <w:r w:rsidRPr="00AB7EC1">
        <w:rPr>
          <w:sz w:val="28"/>
        </w:rPr>
        <w:lastRenderedPageBreak/>
        <w:t>В цілому у 2021-2023</w:t>
      </w:r>
      <w:r w:rsidR="000332E9" w:rsidRPr="00AB7EC1">
        <w:rPr>
          <w:sz w:val="28"/>
        </w:rPr>
        <w:t xml:space="preserve"> роках </w:t>
      </w:r>
      <w:r w:rsidRPr="00AB7EC1">
        <w:rPr>
          <w:sz w:val="28"/>
        </w:rPr>
        <w:t>зазначеними суб’єктами господарювання</w:t>
      </w:r>
      <w:r w:rsidR="000332E9" w:rsidRPr="00AB7EC1">
        <w:rPr>
          <w:sz w:val="28"/>
        </w:rPr>
        <w:t xml:space="preserve"> видобуто майже </w:t>
      </w:r>
      <w:r w:rsidR="00023CD2">
        <w:rPr>
          <w:sz w:val="28"/>
        </w:rPr>
        <w:t>517</w:t>
      </w:r>
      <w:r w:rsidR="000332E9" w:rsidRPr="00AB7EC1">
        <w:rPr>
          <w:sz w:val="28"/>
        </w:rPr>
        <w:t xml:space="preserve"> </w:t>
      </w:r>
      <w:proofErr w:type="spellStart"/>
      <w:r w:rsidR="000332E9" w:rsidRPr="00AB7EC1">
        <w:rPr>
          <w:sz w:val="28"/>
        </w:rPr>
        <w:t>тис.тонн</w:t>
      </w:r>
      <w:proofErr w:type="spellEnd"/>
      <w:r w:rsidR="000332E9" w:rsidRPr="00AB7EC1">
        <w:rPr>
          <w:sz w:val="28"/>
        </w:rPr>
        <w:t xml:space="preserve"> торфу</w:t>
      </w:r>
      <w:r w:rsidR="00F02D6C" w:rsidRPr="00AB7EC1">
        <w:rPr>
          <w:sz w:val="28"/>
        </w:rPr>
        <w:t xml:space="preserve"> </w:t>
      </w:r>
      <w:r w:rsidR="00827AA8">
        <w:rPr>
          <w:sz w:val="28"/>
        </w:rPr>
        <w:t xml:space="preserve">паливного </w:t>
      </w:r>
      <w:r w:rsidR="00F02D6C" w:rsidRPr="00AB7EC1">
        <w:rPr>
          <w:sz w:val="28"/>
        </w:rPr>
        <w:t xml:space="preserve">(в тому числі ДП «Рівнеторф» – </w:t>
      </w:r>
      <w:r w:rsidR="00AB7EC1" w:rsidRPr="00AB7EC1">
        <w:rPr>
          <w:sz w:val="28"/>
        </w:rPr>
        <w:br/>
      </w:r>
      <w:r w:rsidR="00F02D6C" w:rsidRPr="00AB7EC1">
        <w:rPr>
          <w:sz w:val="28"/>
        </w:rPr>
        <w:t xml:space="preserve">487 </w:t>
      </w:r>
      <w:proofErr w:type="spellStart"/>
      <w:r w:rsidR="00F02D6C" w:rsidRPr="00AB7EC1">
        <w:rPr>
          <w:sz w:val="28"/>
        </w:rPr>
        <w:t>тис.тонн</w:t>
      </w:r>
      <w:proofErr w:type="spellEnd"/>
      <w:r w:rsidR="00F02D6C" w:rsidRPr="00AB7EC1">
        <w:rPr>
          <w:sz w:val="28"/>
        </w:rPr>
        <w:t>)</w:t>
      </w:r>
      <w:r w:rsidR="000332E9" w:rsidRPr="00AB7EC1">
        <w:rPr>
          <w:sz w:val="28"/>
        </w:rPr>
        <w:t xml:space="preserve"> та вироблено </w:t>
      </w:r>
      <w:r w:rsidR="00023CD2">
        <w:rPr>
          <w:sz w:val="28"/>
        </w:rPr>
        <w:t>235,7</w:t>
      </w:r>
      <w:r w:rsidR="000332E9" w:rsidRPr="00AB7EC1">
        <w:rPr>
          <w:sz w:val="28"/>
        </w:rPr>
        <w:t xml:space="preserve"> </w:t>
      </w:r>
      <w:proofErr w:type="spellStart"/>
      <w:r w:rsidR="000332E9" w:rsidRPr="00AB7EC1">
        <w:rPr>
          <w:sz w:val="28"/>
        </w:rPr>
        <w:t>тис.тонн</w:t>
      </w:r>
      <w:proofErr w:type="spellEnd"/>
      <w:r w:rsidR="000332E9" w:rsidRPr="00AB7EC1">
        <w:rPr>
          <w:sz w:val="28"/>
        </w:rPr>
        <w:t xml:space="preserve"> </w:t>
      </w:r>
      <w:r w:rsidR="00AB7EC1" w:rsidRPr="00AB7EC1">
        <w:rPr>
          <w:sz w:val="28"/>
        </w:rPr>
        <w:t xml:space="preserve">брикетів та </w:t>
      </w:r>
      <w:proofErr w:type="spellStart"/>
      <w:r w:rsidR="000332E9" w:rsidRPr="00AB7EC1">
        <w:rPr>
          <w:sz w:val="28"/>
        </w:rPr>
        <w:t>напівбрикетів</w:t>
      </w:r>
      <w:proofErr w:type="spellEnd"/>
      <w:r w:rsidR="000332E9" w:rsidRPr="00AB7EC1">
        <w:rPr>
          <w:sz w:val="28"/>
        </w:rPr>
        <w:t xml:space="preserve"> торф’яних</w:t>
      </w:r>
      <w:r w:rsidR="00827AA8">
        <w:rPr>
          <w:sz w:val="28"/>
        </w:rPr>
        <w:t xml:space="preserve"> (в тому числі ДП «Рівнеторф» </w:t>
      </w:r>
      <w:r w:rsidR="00827AA8" w:rsidRPr="00AB7EC1">
        <w:rPr>
          <w:sz w:val="28"/>
        </w:rPr>
        <w:t>–</w:t>
      </w:r>
      <w:r w:rsidR="00827AA8">
        <w:rPr>
          <w:sz w:val="28"/>
        </w:rPr>
        <w:t xml:space="preserve"> 225</w:t>
      </w:r>
      <w:r w:rsidR="00023CD2">
        <w:rPr>
          <w:sz w:val="28"/>
        </w:rPr>
        <w:t>,2</w:t>
      </w:r>
      <w:r w:rsidR="00827AA8">
        <w:rPr>
          <w:sz w:val="28"/>
        </w:rPr>
        <w:t xml:space="preserve"> </w:t>
      </w:r>
      <w:proofErr w:type="spellStart"/>
      <w:r w:rsidR="00827AA8">
        <w:rPr>
          <w:sz w:val="28"/>
        </w:rPr>
        <w:t>тис.тонн</w:t>
      </w:r>
      <w:proofErr w:type="spellEnd"/>
      <w:r w:rsidR="00827AA8">
        <w:rPr>
          <w:sz w:val="28"/>
        </w:rPr>
        <w:t>)</w:t>
      </w:r>
      <w:r w:rsidR="00AB7EC1" w:rsidRPr="00AB7EC1">
        <w:rPr>
          <w:sz w:val="28"/>
        </w:rPr>
        <w:t xml:space="preserve">. </w:t>
      </w:r>
      <w:r w:rsidR="000332E9" w:rsidRPr="00AB7EC1">
        <w:rPr>
          <w:sz w:val="28"/>
        </w:rPr>
        <w:t>Виробництво торфу паливного кускового у вказаний період не здійснювалося.</w:t>
      </w:r>
    </w:p>
    <w:p w:rsidR="00EA6659" w:rsidRPr="00AB7EC1" w:rsidRDefault="00EA6659" w:rsidP="009A1077">
      <w:pPr>
        <w:tabs>
          <w:tab w:val="left" w:pos="993"/>
        </w:tabs>
        <w:jc w:val="both"/>
        <w:rPr>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1559"/>
        <w:gridCol w:w="1701"/>
        <w:gridCol w:w="1411"/>
      </w:tblGrid>
      <w:tr w:rsidR="0022054E" w:rsidRPr="0022054E" w:rsidTr="00607EBC">
        <w:tc>
          <w:tcPr>
            <w:tcW w:w="5104" w:type="dxa"/>
            <w:shd w:val="clear" w:color="auto" w:fill="auto"/>
          </w:tcPr>
          <w:p w:rsidR="00607EBC" w:rsidRPr="0022054E" w:rsidRDefault="00607EBC" w:rsidP="00785FBE">
            <w:pPr>
              <w:tabs>
                <w:tab w:val="left" w:pos="993"/>
              </w:tabs>
              <w:jc w:val="both"/>
              <w:rPr>
                <w:sz w:val="28"/>
              </w:rPr>
            </w:pPr>
          </w:p>
        </w:tc>
        <w:tc>
          <w:tcPr>
            <w:tcW w:w="1559" w:type="dxa"/>
            <w:shd w:val="clear" w:color="auto" w:fill="auto"/>
            <w:vAlign w:val="center"/>
          </w:tcPr>
          <w:p w:rsidR="00607EBC" w:rsidRPr="0022054E" w:rsidRDefault="00607EBC" w:rsidP="00607EBC">
            <w:pPr>
              <w:tabs>
                <w:tab w:val="left" w:pos="993"/>
              </w:tabs>
              <w:jc w:val="center"/>
              <w:rPr>
                <w:b/>
                <w:sz w:val="26"/>
                <w:szCs w:val="26"/>
              </w:rPr>
            </w:pPr>
            <w:r w:rsidRPr="0022054E">
              <w:rPr>
                <w:b/>
                <w:sz w:val="26"/>
                <w:szCs w:val="26"/>
              </w:rPr>
              <w:t>2021 рік</w:t>
            </w:r>
          </w:p>
        </w:tc>
        <w:tc>
          <w:tcPr>
            <w:tcW w:w="1701" w:type="dxa"/>
            <w:shd w:val="clear" w:color="auto" w:fill="auto"/>
            <w:vAlign w:val="center"/>
          </w:tcPr>
          <w:p w:rsidR="00607EBC" w:rsidRPr="0022054E" w:rsidRDefault="00607EBC" w:rsidP="00785FBE">
            <w:pPr>
              <w:tabs>
                <w:tab w:val="left" w:pos="993"/>
              </w:tabs>
              <w:jc w:val="center"/>
              <w:rPr>
                <w:b/>
                <w:sz w:val="26"/>
                <w:szCs w:val="26"/>
              </w:rPr>
            </w:pPr>
            <w:r w:rsidRPr="0022054E">
              <w:rPr>
                <w:b/>
                <w:sz w:val="26"/>
                <w:szCs w:val="26"/>
              </w:rPr>
              <w:t>2022 рік</w:t>
            </w:r>
          </w:p>
        </w:tc>
        <w:tc>
          <w:tcPr>
            <w:tcW w:w="1411" w:type="dxa"/>
            <w:shd w:val="clear" w:color="auto" w:fill="auto"/>
            <w:vAlign w:val="center"/>
          </w:tcPr>
          <w:p w:rsidR="00607EBC" w:rsidRPr="0022054E" w:rsidRDefault="00607EBC" w:rsidP="00785FBE">
            <w:pPr>
              <w:tabs>
                <w:tab w:val="left" w:pos="993"/>
              </w:tabs>
              <w:jc w:val="center"/>
              <w:rPr>
                <w:b/>
                <w:sz w:val="26"/>
                <w:szCs w:val="26"/>
              </w:rPr>
            </w:pPr>
            <w:r w:rsidRPr="0022054E">
              <w:rPr>
                <w:b/>
                <w:sz w:val="26"/>
                <w:szCs w:val="26"/>
              </w:rPr>
              <w:t>2023 рік</w:t>
            </w:r>
          </w:p>
        </w:tc>
      </w:tr>
      <w:tr w:rsidR="0022054E" w:rsidRPr="0022054E" w:rsidTr="00607EBC">
        <w:tc>
          <w:tcPr>
            <w:tcW w:w="5104" w:type="dxa"/>
            <w:shd w:val="clear" w:color="auto" w:fill="auto"/>
          </w:tcPr>
          <w:p w:rsidR="00607EBC" w:rsidRPr="0022054E" w:rsidRDefault="00607EBC" w:rsidP="00782603">
            <w:pPr>
              <w:tabs>
                <w:tab w:val="left" w:pos="993"/>
              </w:tabs>
              <w:jc w:val="both"/>
              <w:rPr>
                <w:sz w:val="28"/>
                <w:szCs w:val="28"/>
              </w:rPr>
            </w:pPr>
            <w:r w:rsidRPr="0022054E">
              <w:rPr>
                <w:sz w:val="28"/>
                <w:szCs w:val="28"/>
              </w:rPr>
              <w:t xml:space="preserve">Оптово-відпускна ціна на </w:t>
            </w:r>
            <w:proofErr w:type="spellStart"/>
            <w:r w:rsidR="00782603" w:rsidRPr="0022054E">
              <w:rPr>
                <w:sz w:val="28"/>
                <w:szCs w:val="28"/>
              </w:rPr>
              <w:t>торфопродукцію</w:t>
            </w:r>
            <w:proofErr w:type="spellEnd"/>
            <w:r w:rsidR="00782603" w:rsidRPr="0022054E">
              <w:rPr>
                <w:sz w:val="28"/>
                <w:szCs w:val="28"/>
              </w:rPr>
              <w:t xml:space="preserve">, що реалізується </w:t>
            </w:r>
            <w:r w:rsidR="00AF2755" w:rsidRPr="0022054E">
              <w:rPr>
                <w:sz w:val="28"/>
                <w:szCs w:val="28"/>
              </w:rPr>
              <w:t xml:space="preserve">населення </w:t>
            </w:r>
            <w:r w:rsidR="00782603" w:rsidRPr="0022054E">
              <w:rPr>
                <w:sz w:val="28"/>
                <w:szCs w:val="28"/>
              </w:rPr>
              <w:t xml:space="preserve">для побутових </w:t>
            </w:r>
            <w:r w:rsidR="00AF2755" w:rsidRPr="0022054E">
              <w:rPr>
                <w:sz w:val="28"/>
                <w:szCs w:val="28"/>
              </w:rPr>
              <w:t>потреб</w:t>
            </w:r>
            <w:r w:rsidRPr="0022054E">
              <w:rPr>
                <w:sz w:val="28"/>
                <w:szCs w:val="28"/>
              </w:rPr>
              <w:t>, грн/тонну (з ПДВ)</w:t>
            </w:r>
          </w:p>
        </w:tc>
        <w:tc>
          <w:tcPr>
            <w:tcW w:w="1559" w:type="dxa"/>
            <w:shd w:val="clear" w:color="auto" w:fill="auto"/>
          </w:tcPr>
          <w:p w:rsidR="00607EBC" w:rsidRPr="0022054E" w:rsidRDefault="00782603" w:rsidP="00785FBE">
            <w:pPr>
              <w:tabs>
                <w:tab w:val="left" w:pos="993"/>
              </w:tabs>
              <w:jc w:val="center"/>
              <w:rPr>
                <w:sz w:val="28"/>
                <w:szCs w:val="28"/>
              </w:rPr>
            </w:pPr>
            <w:r w:rsidRPr="0022054E">
              <w:rPr>
                <w:sz w:val="28"/>
                <w:szCs w:val="28"/>
              </w:rPr>
              <w:t>1120,00-1714</w:t>
            </w:r>
            <w:r w:rsidR="00607EBC" w:rsidRPr="0022054E">
              <w:rPr>
                <w:sz w:val="28"/>
                <w:szCs w:val="28"/>
              </w:rPr>
              <w:t>,00</w:t>
            </w:r>
          </w:p>
        </w:tc>
        <w:tc>
          <w:tcPr>
            <w:tcW w:w="1701" w:type="dxa"/>
            <w:shd w:val="clear" w:color="auto" w:fill="auto"/>
          </w:tcPr>
          <w:p w:rsidR="00607EBC" w:rsidRPr="0022054E" w:rsidRDefault="00607EBC" w:rsidP="00785FBE">
            <w:pPr>
              <w:tabs>
                <w:tab w:val="left" w:pos="993"/>
              </w:tabs>
              <w:jc w:val="center"/>
              <w:rPr>
                <w:sz w:val="28"/>
                <w:szCs w:val="28"/>
              </w:rPr>
            </w:pPr>
            <w:r w:rsidRPr="0022054E">
              <w:rPr>
                <w:sz w:val="28"/>
                <w:szCs w:val="28"/>
              </w:rPr>
              <w:t>1410,00-1860,00</w:t>
            </w:r>
          </w:p>
        </w:tc>
        <w:tc>
          <w:tcPr>
            <w:tcW w:w="1411" w:type="dxa"/>
            <w:shd w:val="clear" w:color="auto" w:fill="auto"/>
          </w:tcPr>
          <w:p w:rsidR="00607EBC" w:rsidRPr="0022054E" w:rsidRDefault="00607EBC" w:rsidP="00785FBE">
            <w:pPr>
              <w:tabs>
                <w:tab w:val="left" w:pos="993"/>
              </w:tabs>
              <w:jc w:val="center"/>
              <w:rPr>
                <w:sz w:val="28"/>
                <w:szCs w:val="28"/>
              </w:rPr>
            </w:pPr>
            <w:r w:rsidRPr="0022054E">
              <w:rPr>
                <w:sz w:val="28"/>
                <w:szCs w:val="28"/>
              </w:rPr>
              <w:t>1860,00</w:t>
            </w:r>
            <w:r w:rsidR="0022054E" w:rsidRPr="0022054E">
              <w:rPr>
                <w:sz w:val="28"/>
                <w:szCs w:val="28"/>
              </w:rPr>
              <w:t>-3250,00</w:t>
            </w:r>
          </w:p>
        </w:tc>
      </w:tr>
      <w:tr w:rsidR="0022054E" w:rsidRPr="0022054E" w:rsidTr="00607EBC">
        <w:tc>
          <w:tcPr>
            <w:tcW w:w="5104" w:type="dxa"/>
            <w:shd w:val="clear" w:color="auto" w:fill="auto"/>
          </w:tcPr>
          <w:p w:rsidR="00607EBC" w:rsidRPr="0022054E" w:rsidRDefault="00AF2755" w:rsidP="00AF2755">
            <w:pPr>
              <w:tabs>
                <w:tab w:val="left" w:pos="993"/>
              </w:tabs>
              <w:jc w:val="both"/>
              <w:rPr>
                <w:sz w:val="28"/>
                <w:szCs w:val="28"/>
              </w:rPr>
            </w:pPr>
            <w:r w:rsidRPr="0022054E">
              <w:rPr>
                <w:sz w:val="28"/>
                <w:szCs w:val="28"/>
              </w:rPr>
              <w:t>Обсяги реалізованої</w:t>
            </w:r>
            <w:r w:rsidR="00607EBC" w:rsidRPr="0022054E">
              <w:rPr>
                <w:sz w:val="28"/>
                <w:szCs w:val="28"/>
              </w:rPr>
              <w:t xml:space="preserve"> </w:t>
            </w:r>
            <w:proofErr w:type="spellStart"/>
            <w:r w:rsidR="00607EBC" w:rsidRPr="0022054E">
              <w:rPr>
                <w:sz w:val="28"/>
                <w:szCs w:val="28"/>
              </w:rPr>
              <w:t>тор</w:t>
            </w:r>
            <w:r w:rsidRPr="0022054E">
              <w:rPr>
                <w:sz w:val="28"/>
                <w:szCs w:val="28"/>
              </w:rPr>
              <w:t>фопродукції</w:t>
            </w:r>
            <w:proofErr w:type="spellEnd"/>
            <w:r w:rsidR="00607EBC" w:rsidRPr="0022054E">
              <w:rPr>
                <w:sz w:val="28"/>
                <w:szCs w:val="28"/>
              </w:rPr>
              <w:t xml:space="preserve"> для побутових потреб населення, </w:t>
            </w:r>
            <w:proofErr w:type="spellStart"/>
            <w:r w:rsidR="00607EBC" w:rsidRPr="0022054E">
              <w:rPr>
                <w:sz w:val="28"/>
                <w:szCs w:val="28"/>
              </w:rPr>
              <w:t>тис.тонн</w:t>
            </w:r>
            <w:proofErr w:type="spellEnd"/>
          </w:p>
        </w:tc>
        <w:tc>
          <w:tcPr>
            <w:tcW w:w="1559" w:type="dxa"/>
            <w:shd w:val="clear" w:color="auto" w:fill="auto"/>
          </w:tcPr>
          <w:p w:rsidR="00607EBC" w:rsidRPr="0022054E" w:rsidRDefault="00607EBC" w:rsidP="00785FBE">
            <w:pPr>
              <w:tabs>
                <w:tab w:val="left" w:pos="993"/>
              </w:tabs>
              <w:jc w:val="center"/>
              <w:rPr>
                <w:sz w:val="28"/>
              </w:rPr>
            </w:pPr>
            <w:r w:rsidRPr="0022054E">
              <w:rPr>
                <w:sz w:val="28"/>
              </w:rPr>
              <w:t>50,</w:t>
            </w:r>
            <w:r w:rsidR="00F0214F">
              <w:rPr>
                <w:sz w:val="28"/>
              </w:rPr>
              <w:t>2</w:t>
            </w:r>
          </w:p>
        </w:tc>
        <w:tc>
          <w:tcPr>
            <w:tcW w:w="1701" w:type="dxa"/>
            <w:shd w:val="clear" w:color="auto" w:fill="auto"/>
          </w:tcPr>
          <w:p w:rsidR="00607EBC" w:rsidRPr="0022054E" w:rsidRDefault="00607EBC" w:rsidP="00785FBE">
            <w:pPr>
              <w:tabs>
                <w:tab w:val="left" w:pos="993"/>
              </w:tabs>
              <w:jc w:val="center"/>
              <w:rPr>
                <w:sz w:val="28"/>
              </w:rPr>
            </w:pPr>
            <w:r w:rsidRPr="0022054E">
              <w:rPr>
                <w:sz w:val="28"/>
              </w:rPr>
              <w:t>36,6</w:t>
            </w:r>
          </w:p>
        </w:tc>
        <w:tc>
          <w:tcPr>
            <w:tcW w:w="1411" w:type="dxa"/>
            <w:shd w:val="clear" w:color="auto" w:fill="auto"/>
          </w:tcPr>
          <w:p w:rsidR="00607EBC" w:rsidRPr="0022054E" w:rsidRDefault="00F0214F" w:rsidP="00785FBE">
            <w:pPr>
              <w:tabs>
                <w:tab w:val="left" w:pos="993"/>
              </w:tabs>
              <w:jc w:val="center"/>
              <w:rPr>
                <w:sz w:val="28"/>
              </w:rPr>
            </w:pPr>
            <w:r>
              <w:rPr>
                <w:sz w:val="28"/>
              </w:rPr>
              <w:t>16,2</w:t>
            </w:r>
          </w:p>
        </w:tc>
      </w:tr>
      <w:tr w:rsidR="00F0214F" w:rsidRPr="00F0214F" w:rsidTr="00607EBC">
        <w:tc>
          <w:tcPr>
            <w:tcW w:w="5104" w:type="dxa"/>
            <w:shd w:val="clear" w:color="auto" w:fill="auto"/>
          </w:tcPr>
          <w:p w:rsidR="00607EBC" w:rsidRPr="00F0214F" w:rsidRDefault="00607EBC" w:rsidP="006423D5">
            <w:pPr>
              <w:tabs>
                <w:tab w:val="left" w:pos="993"/>
              </w:tabs>
              <w:jc w:val="both"/>
              <w:rPr>
                <w:sz w:val="28"/>
                <w:szCs w:val="28"/>
              </w:rPr>
            </w:pPr>
            <w:r w:rsidRPr="00F0214F">
              <w:rPr>
                <w:sz w:val="28"/>
                <w:szCs w:val="28"/>
              </w:rPr>
              <w:t>Частка обсягу реалізованої продукції для побутових потреб населення у загальному обсязі реалізації, %</w:t>
            </w:r>
          </w:p>
        </w:tc>
        <w:tc>
          <w:tcPr>
            <w:tcW w:w="1559" w:type="dxa"/>
            <w:shd w:val="clear" w:color="auto" w:fill="auto"/>
          </w:tcPr>
          <w:p w:rsidR="00607EBC" w:rsidRPr="00F0214F" w:rsidRDefault="00F0214F" w:rsidP="00785FBE">
            <w:pPr>
              <w:tabs>
                <w:tab w:val="left" w:pos="993"/>
              </w:tabs>
              <w:jc w:val="center"/>
              <w:rPr>
                <w:sz w:val="28"/>
              </w:rPr>
            </w:pPr>
            <w:r w:rsidRPr="00F0214F">
              <w:rPr>
                <w:sz w:val="28"/>
              </w:rPr>
              <w:t>52,6</w:t>
            </w:r>
          </w:p>
        </w:tc>
        <w:tc>
          <w:tcPr>
            <w:tcW w:w="1701" w:type="dxa"/>
            <w:shd w:val="clear" w:color="auto" w:fill="auto"/>
          </w:tcPr>
          <w:p w:rsidR="00607EBC" w:rsidRPr="00F0214F" w:rsidRDefault="00607EBC" w:rsidP="00785FBE">
            <w:pPr>
              <w:tabs>
                <w:tab w:val="left" w:pos="993"/>
              </w:tabs>
              <w:jc w:val="center"/>
              <w:rPr>
                <w:sz w:val="28"/>
              </w:rPr>
            </w:pPr>
            <w:r w:rsidRPr="00F0214F">
              <w:rPr>
                <w:sz w:val="28"/>
              </w:rPr>
              <w:t>47,4</w:t>
            </w:r>
          </w:p>
        </w:tc>
        <w:tc>
          <w:tcPr>
            <w:tcW w:w="1411" w:type="dxa"/>
            <w:shd w:val="clear" w:color="auto" w:fill="auto"/>
          </w:tcPr>
          <w:p w:rsidR="00607EBC" w:rsidRPr="00F0214F" w:rsidRDefault="00F0214F" w:rsidP="00785FBE">
            <w:pPr>
              <w:tabs>
                <w:tab w:val="left" w:pos="993"/>
              </w:tabs>
              <w:jc w:val="center"/>
              <w:rPr>
                <w:sz w:val="28"/>
              </w:rPr>
            </w:pPr>
            <w:r w:rsidRPr="00F0214F">
              <w:rPr>
                <w:sz w:val="28"/>
              </w:rPr>
              <w:t>30,8</w:t>
            </w:r>
          </w:p>
        </w:tc>
      </w:tr>
    </w:tbl>
    <w:p w:rsidR="00D92E8F" w:rsidRPr="006D79CC" w:rsidRDefault="00B2319F" w:rsidP="00B2319F">
      <w:pPr>
        <w:tabs>
          <w:tab w:val="left" w:pos="993"/>
        </w:tabs>
        <w:ind w:firstLine="709"/>
        <w:jc w:val="both"/>
        <w:rPr>
          <w:sz w:val="28"/>
        </w:rPr>
      </w:pPr>
      <w:r w:rsidRPr="006D79CC">
        <w:rPr>
          <w:sz w:val="28"/>
        </w:rPr>
        <w:t xml:space="preserve">Зростання ціни реалізації </w:t>
      </w:r>
      <w:proofErr w:type="spellStart"/>
      <w:r w:rsidR="0062099A" w:rsidRPr="006D79CC">
        <w:rPr>
          <w:sz w:val="28"/>
        </w:rPr>
        <w:t>торфопродукції</w:t>
      </w:r>
      <w:proofErr w:type="spellEnd"/>
      <w:r w:rsidR="0062099A" w:rsidRPr="006D79CC">
        <w:rPr>
          <w:sz w:val="28"/>
        </w:rPr>
        <w:t xml:space="preserve"> </w:t>
      </w:r>
      <w:r w:rsidRPr="006D79CC">
        <w:rPr>
          <w:sz w:val="28"/>
        </w:rPr>
        <w:t xml:space="preserve">для побутових потреб населення </w:t>
      </w:r>
      <w:r w:rsidR="00D532E2" w:rsidRPr="006D79CC">
        <w:rPr>
          <w:sz w:val="28"/>
        </w:rPr>
        <w:t>обумовлено</w:t>
      </w:r>
      <w:r w:rsidRPr="006D79CC">
        <w:rPr>
          <w:sz w:val="28"/>
        </w:rPr>
        <w:t xml:space="preserve"> зб</w:t>
      </w:r>
      <w:r w:rsidR="00F0214F" w:rsidRPr="006D79CC">
        <w:rPr>
          <w:sz w:val="28"/>
        </w:rPr>
        <w:t>ільшенням витрат на виробництво, у зв’язку із зростанням вартості пального, матеріалів та запчастин, електроенергії, витрат на оплату праці.</w:t>
      </w:r>
      <w:r w:rsidRPr="006D79CC">
        <w:rPr>
          <w:sz w:val="28"/>
        </w:rPr>
        <w:t xml:space="preserve"> </w:t>
      </w:r>
    </w:p>
    <w:p w:rsidR="00023CD2" w:rsidRDefault="00023CD2" w:rsidP="00B2319F">
      <w:pPr>
        <w:tabs>
          <w:tab w:val="left" w:pos="993"/>
        </w:tabs>
        <w:ind w:firstLine="709"/>
        <w:jc w:val="both"/>
        <w:rPr>
          <w:sz w:val="28"/>
        </w:rPr>
      </w:pPr>
    </w:p>
    <w:p w:rsidR="00EA6659" w:rsidRPr="008B6FA5" w:rsidRDefault="00EA6659" w:rsidP="00B2319F">
      <w:pPr>
        <w:tabs>
          <w:tab w:val="left" w:pos="993"/>
        </w:tabs>
        <w:ind w:firstLine="709"/>
        <w:jc w:val="both"/>
        <w:rPr>
          <w:sz w:val="28"/>
        </w:rPr>
      </w:pPr>
      <w:r w:rsidRPr="008B6FA5">
        <w:rPr>
          <w:sz w:val="28"/>
        </w:rPr>
        <w:t xml:space="preserve">Реалізація дров населенню для побутових потреб </w:t>
      </w:r>
      <w:r w:rsidR="00B57E6A" w:rsidRPr="008B6FA5">
        <w:rPr>
          <w:sz w:val="28"/>
        </w:rPr>
        <w:t xml:space="preserve">здійснюється 9 філіями Державного підприємства «Ліси України»: </w:t>
      </w:r>
      <w:r w:rsidR="00445B1C" w:rsidRPr="008B6FA5">
        <w:rPr>
          <w:sz w:val="28"/>
        </w:rPr>
        <w:t>«</w:t>
      </w:r>
      <w:r w:rsidR="00B70B44" w:rsidRPr="008B6FA5">
        <w:rPr>
          <w:sz w:val="28"/>
        </w:rPr>
        <w:t>Висоцьке</w:t>
      </w:r>
      <w:r w:rsidR="00445B1C" w:rsidRPr="008B6FA5">
        <w:rPr>
          <w:sz w:val="28"/>
        </w:rPr>
        <w:t xml:space="preserve"> лісове господарство»</w:t>
      </w:r>
      <w:r w:rsidR="00B70B44" w:rsidRPr="008B6FA5">
        <w:rPr>
          <w:sz w:val="28"/>
        </w:rPr>
        <w:t xml:space="preserve">, </w:t>
      </w:r>
      <w:r w:rsidR="00445B1C" w:rsidRPr="008B6FA5">
        <w:rPr>
          <w:sz w:val="28"/>
        </w:rPr>
        <w:t>«</w:t>
      </w:r>
      <w:proofErr w:type="spellStart"/>
      <w:r w:rsidR="00B70B44" w:rsidRPr="008B6FA5">
        <w:rPr>
          <w:sz w:val="28"/>
        </w:rPr>
        <w:t>Дубенське</w:t>
      </w:r>
      <w:proofErr w:type="spellEnd"/>
      <w:r w:rsidR="00445B1C" w:rsidRPr="008B6FA5">
        <w:rPr>
          <w:sz w:val="28"/>
        </w:rPr>
        <w:t xml:space="preserve"> лісове господарство»</w:t>
      </w:r>
      <w:r w:rsidR="00B70B44" w:rsidRPr="008B6FA5">
        <w:rPr>
          <w:sz w:val="28"/>
        </w:rPr>
        <w:t xml:space="preserve">, </w:t>
      </w:r>
      <w:r w:rsidR="00445B1C" w:rsidRPr="008B6FA5">
        <w:rPr>
          <w:sz w:val="28"/>
        </w:rPr>
        <w:t>«</w:t>
      </w:r>
      <w:proofErr w:type="spellStart"/>
      <w:r w:rsidR="00B70B44" w:rsidRPr="008B6FA5">
        <w:rPr>
          <w:sz w:val="28"/>
        </w:rPr>
        <w:t>Рокитнівське</w:t>
      </w:r>
      <w:proofErr w:type="spellEnd"/>
      <w:r w:rsidR="00445B1C" w:rsidRPr="008B6FA5">
        <w:rPr>
          <w:sz w:val="28"/>
        </w:rPr>
        <w:t xml:space="preserve"> лісове господарство»</w:t>
      </w:r>
      <w:r w:rsidR="00B70B44" w:rsidRPr="008B6FA5">
        <w:rPr>
          <w:sz w:val="28"/>
        </w:rPr>
        <w:t xml:space="preserve">, </w:t>
      </w:r>
      <w:r w:rsidR="00445B1C" w:rsidRPr="008B6FA5">
        <w:rPr>
          <w:sz w:val="28"/>
        </w:rPr>
        <w:t>«</w:t>
      </w:r>
      <w:proofErr w:type="spellStart"/>
      <w:r w:rsidR="00B70B44" w:rsidRPr="008B6FA5">
        <w:rPr>
          <w:sz w:val="28"/>
        </w:rPr>
        <w:t>Костопільське</w:t>
      </w:r>
      <w:proofErr w:type="spellEnd"/>
      <w:r w:rsidR="00445B1C" w:rsidRPr="008B6FA5">
        <w:rPr>
          <w:sz w:val="28"/>
        </w:rPr>
        <w:t xml:space="preserve"> лісове господарство»</w:t>
      </w:r>
      <w:r w:rsidR="00B70B44" w:rsidRPr="008B6FA5">
        <w:rPr>
          <w:sz w:val="28"/>
        </w:rPr>
        <w:t xml:space="preserve">, </w:t>
      </w:r>
      <w:r w:rsidR="00445B1C" w:rsidRPr="008B6FA5">
        <w:rPr>
          <w:sz w:val="28"/>
        </w:rPr>
        <w:t>«</w:t>
      </w:r>
      <w:proofErr w:type="spellStart"/>
      <w:r w:rsidR="00B70B44" w:rsidRPr="008B6FA5">
        <w:rPr>
          <w:sz w:val="28"/>
        </w:rPr>
        <w:t>Рафалівське</w:t>
      </w:r>
      <w:proofErr w:type="spellEnd"/>
      <w:r w:rsidR="00445B1C" w:rsidRPr="008B6FA5">
        <w:rPr>
          <w:sz w:val="28"/>
        </w:rPr>
        <w:t xml:space="preserve"> лісове господарство»</w:t>
      </w:r>
      <w:r w:rsidR="00B70B44" w:rsidRPr="008B6FA5">
        <w:rPr>
          <w:sz w:val="28"/>
        </w:rPr>
        <w:t xml:space="preserve">, </w:t>
      </w:r>
      <w:r w:rsidR="00445B1C" w:rsidRPr="008B6FA5">
        <w:rPr>
          <w:sz w:val="28"/>
        </w:rPr>
        <w:t>«</w:t>
      </w:r>
      <w:proofErr w:type="spellStart"/>
      <w:r w:rsidR="00B70B44" w:rsidRPr="008B6FA5">
        <w:rPr>
          <w:sz w:val="28"/>
        </w:rPr>
        <w:t>Сарненське</w:t>
      </w:r>
      <w:proofErr w:type="spellEnd"/>
      <w:r w:rsidR="00445B1C" w:rsidRPr="008B6FA5">
        <w:rPr>
          <w:sz w:val="28"/>
        </w:rPr>
        <w:t xml:space="preserve"> лісове господарство»</w:t>
      </w:r>
      <w:r w:rsidR="00B70B44" w:rsidRPr="008B6FA5">
        <w:rPr>
          <w:sz w:val="28"/>
        </w:rPr>
        <w:t xml:space="preserve">, </w:t>
      </w:r>
      <w:r w:rsidR="00445B1C" w:rsidRPr="008B6FA5">
        <w:rPr>
          <w:sz w:val="28"/>
        </w:rPr>
        <w:t>«</w:t>
      </w:r>
      <w:proofErr w:type="spellStart"/>
      <w:r w:rsidR="00B70B44" w:rsidRPr="008B6FA5">
        <w:rPr>
          <w:sz w:val="28"/>
        </w:rPr>
        <w:t>Клесівське</w:t>
      </w:r>
      <w:proofErr w:type="spellEnd"/>
      <w:r w:rsidR="00445B1C" w:rsidRPr="008B6FA5">
        <w:rPr>
          <w:sz w:val="28"/>
        </w:rPr>
        <w:t xml:space="preserve"> лісове господарство»</w:t>
      </w:r>
      <w:r w:rsidR="00B70B44" w:rsidRPr="008B6FA5">
        <w:rPr>
          <w:sz w:val="28"/>
        </w:rPr>
        <w:t xml:space="preserve">, </w:t>
      </w:r>
      <w:r w:rsidR="00445B1C" w:rsidRPr="008B6FA5">
        <w:rPr>
          <w:sz w:val="28"/>
        </w:rPr>
        <w:t>«</w:t>
      </w:r>
      <w:proofErr w:type="spellStart"/>
      <w:r w:rsidR="00B70B44" w:rsidRPr="008B6FA5">
        <w:rPr>
          <w:sz w:val="28"/>
        </w:rPr>
        <w:t>Березнівське</w:t>
      </w:r>
      <w:proofErr w:type="spellEnd"/>
      <w:r w:rsidR="00445B1C" w:rsidRPr="008B6FA5">
        <w:rPr>
          <w:sz w:val="28"/>
        </w:rPr>
        <w:t xml:space="preserve"> лісове господарство»</w:t>
      </w:r>
      <w:r w:rsidR="00B70B44" w:rsidRPr="008B6FA5">
        <w:rPr>
          <w:sz w:val="28"/>
        </w:rPr>
        <w:t xml:space="preserve">, </w:t>
      </w:r>
      <w:r w:rsidR="00445B1C" w:rsidRPr="008B6FA5">
        <w:rPr>
          <w:sz w:val="28"/>
        </w:rPr>
        <w:t>«</w:t>
      </w:r>
      <w:proofErr w:type="spellStart"/>
      <w:r w:rsidR="00445B1C" w:rsidRPr="008B6FA5">
        <w:rPr>
          <w:sz w:val="28"/>
        </w:rPr>
        <w:t>Соснівське</w:t>
      </w:r>
      <w:proofErr w:type="spellEnd"/>
      <w:r w:rsidR="00445B1C" w:rsidRPr="008B6FA5">
        <w:rPr>
          <w:sz w:val="28"/>
        </w:rPr>
        <w:t xml:space="preserve"> лісове господарство»</w:t>
      </w:r>
      <w:r w:rsidR="00B70B44" w:rsidRPr="008B6FA5">
        <w:rPr>
          <w:sz w:val="28"/>
        </w:rPr>
        <w:t>.</w:t>
      </w:r>
    </w:p>
    <w:p w:rsidR="00CA7548" w:rsidRPr="006D79CC" w:rsidRDefault="00CA7548" w:rsidP="00B2319F">
      <w:pPr>
        <w:tabs>
          <w:tab w:val="left" w:pos="993"/>
        </w:tabs>
        <w:ind w:firstLine="709"/>
        <w:jc w:val="both"/>
        <w:rPr>
          <w:sz w:val="20"/>
          <w:szCs w:val="20"/>
        </w:rPr>
      </w:pPr>
    </w:p>
    <w:tbl>
      <w:tblPr>
        <w:tblStyle w:val="a4"/>
        <w:tblW w:w="9634" w:type="dxa"/>
        <w:tblLook w:val="04A0" w:firstRow="1" w:lastRow="0" w:firstColumn="1" w:lastColumn="0" w:noHBand="0" w:noVBand="1"/>
      </w:tblPr>
      <w:tblGrid>
        <w:gridCol w:w="5098"/>
        <w:gridCol w:w="1560"/>
        <w:gridCol w:w="1559"/>
        <w:gridCol w:w="1417"/>
      </w:tblGrid>
      <w:tr w:rsidR="008108A1" w:rsidRPr="0035424D" w:rsidTr="008108A1">
        <w:tc>
          <w:tcPr>
            <w:tcW w:w="5098" w:type="dxa"/>
          </w:tcPr>
          <w:p w:rsidR="008108A1" w:rsidRPr="008B6FA5" w:rsidRDefault="008108A1" w:rsidP="005104FB">
            <w:pPr>
              <w:tabs>
                <w:tab w:val="left" w:pos="993"/>
              </w:tabs>
              <w:rPr>
                <w:sz w:val="28"/>
              </w:rPr>
            </w:pPr>
          </w:p>
        </w:tc>
        <w:tc>
          <w:tcPr>
            <w:tcW w:w="1560" w:type="dxa"/>
            <w:shd w:val="clear" w:color="auto" w:fill="auto"/>
            <w:vAlign w:val="center"/>
          </w:tcPr>
          <w:p w:rsidR="008108A1" w:rsidRPr="008B6FA5" w:rsidRDefault="008108A1" w:rsidP="005104FB">
            <w:pPr>
              <w:tabs>
                <w:tab w:val="left" w:pos="993"/>
              </w:tabs>
              <w:jc w:val="center"/>
              <w:rPr>
                <w:b/>
                <w:sz w:val="27"/>
                <w:szCs w:val="27"/>
              </w:rPr>
            </w:pPr>
            <w:r w:rsidRPr="008B6FA5">
              <w:rPr>
                <w:b/>
                <w:sz w:val="27"/>
                <w:szCs w:val="27"/>
              </w:rPr>
              <w:t>2021 рік</w:t>
            </w:r>
          </w:p>
        </w:tc>
        <w:tc>
          <w:tcPr>
            <w:tcW w:w="1559" w:type="dxa"/>
            <w:shd w:val="clear" w:color="auto" w:fill="auto"/>
            <w:vAlign w:val="center"/>
          </w:tcPr>
          <w:p w:rsidR="008108A1" w:rsidRPr="008B6FA5" w:rsidRDefault="008108A1" w:rsidP="005104FB">
            <w:pPr>
              <w:tabs>
                <w:tab w:val="left" w:pos="993"/>
              </w:tabs>
              <w:jc w:val="center"/>
              <w:rPr>
                <w:b/>
                <w:sz w:val="27"/>
                <w:szCs w:val="27"/>
              </w:rPr>
            </w:pPr>
            <w:r w:rsidRPr="008B6FA5">
              <w:rPr>
                <w:b/>
                <w:sz w:val="27"/>
                <w:szCs w:val="27"/>
              </w:rPr>
              <w:t>2022 рік</w:t>
            </w:r>
          </w:p>
        </w:tc>
        <w:tc>
          <w:tcPr>
            <w:tcW w:w="1417" w:type="dxa"/>
            <w:shd w:val="clear" w:color="auto" w:fill="auto"/>
            <w:vAlign w:val="center"/>
          </w:tcPr>
          <w:p w:rsidR="008108A1" w:rsidRPr="000353C4" w:rsidRDefault="008108A1" w:rsidP="005104FB">
            <w:pPr>
              <w:tabs>
                <w:tab w:val="left" w:pos="993"/>
              </w:tabs>
              <w:jc w:val="center"/>
              <w:rPr>
                <w:b/>
                <w:sz w:val="27"/>
                <w:szCs w:val="27"/>
              </w:rPr>
            </w:pPr>
            <w:r w:rsidRPr="000353C4">
              <w:rPr>
                <w:b/>
                <w:sz w:val="27"/>
                <w:szCs w:val="27"/>
              </w:rPr>
              <w:t>2023 рік</w:t>
            </w:r>
          </w:p>
        </w:tc>
      </w:tr>
      <w:tr w:rsidR="008108A1" w:rsidRPr="0035424D" w:rsidTr="008108A1">
        <w:trPr>
          <w:trHeight w:val="941"/>
        </w:trPr>
        <w:tc>
          <w:tcPr>
            <w:tcW w:w="5098" w:type="dxa"/>
          </w:tcPr>
          <w:p w:rsidR="008108A1" w:rsidRPr="008B6FA5" w:rsidRDefault="008108A1" w:rsidP="005104FB">
            <w:pPr>
              <w:tabs>
                <w:tab w:val="left" w:pos="993"/>
              </w:tabs>
              <w:jc w:val="both"/>
              <w:rPr>
                <w:sz w:val="28"/>
                <w:szCs w:val="28"/>
              </w:rPr>
            </w:pPr>
            <w:r w:rsidRPr="008B6FA5">
              <w:rPr>
                <w:sz w:val="28"/>
                <w:szCs w:val="28"/>
              </w:rPr>
              <w:t>Оптово-відпускна ціна на дров’яну деревину для побутових потреб населення, грн /м</w:t>
            </w:r>
            <w:r w:rsidRPr="008B6FA5">
              <w:rPr>
                <w:sz w:val="28"/>
                <w:szCs w:val="28"/>
                <w:vertAlign w:val="superscript"/>
              </w:rPr>
              <w:t>3</w:t>
            </w:r>
            <w:r w:rsidRPr="008B6FA5">
              <w:rPr>
                <w:sz w:val="28"/>
                <w:szCs w:val="28"/>
              </w:rPr>
              <w:t xml:space="preserve"> (з ПДВ)</w:t>
            </w:r>
          </w:p>
        </w:tc>
        <w:tc>
          <w:tcPr>
            <w:tcW w:w="1560" w:type="dxa"/>
            <w:shd w:val="clear" w:color="auto" w:fill="auto"/>
          </w:tcPr>
          <w:p w:rsidR="008108A1" w:rsidRPr="008B6FA5" w:rsidRDefault="008108A1" w:rsidP="005104FB">
            <w:pPr>
              <w:tabs>
                <w:tab w:val="left" w:pos="993"/>
              </w:tabs>
              <w:jc w:val="center"/>
              <w:rPr>
                <w:sz w:val="27"/>
                <w:szCs w:val="27"/>
              </w:rPr>
            </w:pPr>
            <w:r w:rsidRPr="008B6FA5">
              <w:rPr>
                <w:sz w:val="27"/>
                <w:szCs w:val="27"/>
              </w:rPr>
              <w:t>350,00-658,20</w:t>
            </w:r>
          </w:p>
        </w:tc>
        <w:tc>
          <w:tcPr>
            <w:tcW w:w="1559" w:type="dxa"/>
            <w:shd w:val="clear" w:color="auto" w:fill="auto"/>
          </w:tcPr>
          <w:p w:rsidR="008108A1" w:rsidRPr="008B6FA5" w:rsidRDefault="008108A1" w:rsidP="005104FB">
            <w:pPr>
              <w:tabs>
                <w:tab w:val="left" w:pos="993"/>
              </w:tabs>
              <w:ind w:right="-108"/>
              <w:jc w:val="center"/>
              <w:rPr>
                <w:sz w:val="27"/>
                <w:szCs w:val="27"/>
              </w:rPr>
            </w:pPr>
            <w:r w:rsidRPr="008B6FA5">
              <w:rPr>
                <w:sz w:val="27"/>
                <w:szCs w:val="27"/>
              </w:rPr>
              <w:t>355,00-1055,40</w:t>
            </w:r>
          </w:p>
        </w:tc>
        <w:tc>
          <w:tcPr>
            <w:tcW w:w="1417" w:type="dxa"/>
            <w:shd w:val="clear" w:color="auto" w:fill="auto"/>
          </w:tcPr>
          <w:p w:rsidR="008108A1" w:rsidRPr="000353C4" w:rsidRDefault="000353C4" w:rsidP="00C531CD">
            <w:pPr>
              <w:tabs>
                <w:tab w:val="left" w:pos="993"/>
              </w:tabs>
              <w:jc w:val="center"/>
              <w:rPr>
                <w:sz w:val="27"/>
                <w:szCs w:val="27"/>
              </w:rPr>
            </w:pPr>
            <w:r w:rsidRPr="000353C4">
              <w:rPr>
                <w:sz w:val="27"/>
                <w:szCs w:val="27"/>
              </w:rPr>
              <w:t>570,00-</w:t>
            </w:r>
            <w:r w:rsidR="00C531CD">
              <w:rPr>
                <w:sz w:val="27"/>
                <w:szCs w:val="27"/>
              </w:rPr>
              <w:t>1530,00</w:t>
            </w:r>
          </w:p>
        </w:tc>
      </w:tr>
      <w:tr w:rsidR="00716CA6" w:rsidRPr="00716CA6" w:rsidTr="008108A1">
        <w:tc>
          <w:tcPr>
            <w:tcW w:w="5098" w:type="dxa"/>
          </w:tcPr>
          <w:p w:rsidR="008108A1" w:rsidRPr="00716CA6" w:rsidRDefault="008108A1" w:rsidP="005104FB">
            <w:pPr>
              <w:tabs>
                <w:tab w:val="left" w:pos="993"/>
              </w:tabs>
              <w:jc w:val="both"/>
              <w:rPr>
                <w:sz w:val="28"/>
                <w:szCs w:val="28"/>
              </w:rPr>
            </w:pPr>
            <w:r w:rsidRPr="00716CA6">
              <w:rPr>
                <w:sz w:val="28"/>
                <w:szCs w:val="28"/>
              </w:rPr>
              <w:t>Реалізовано продукції для побутових потреб населення, тис.м</w:t>
            </w:r>
            <w:r w:rsidRPr="00716CA6">
              <w:rPr>
                <w:sz w:val="28"/>
                <w:szCs w:val="28"/>
                <w:vertAlign w:val="superscript"/>
              </w:rPr>
              <w:t>3</w:t>
            </w:r>
          </w:p>
        </w:tc>
        <w:tc>
          <w:tcPr>
            <w:tcW w:w="1560" w:type="dxa"/>
            <w:shd w:val="clear" w:color="auto" w:fill="auto"/>
          </w:tcPr>
          <w:p w:rsidR="008108A1" w:rsidRPr="00716CA6" w:rsidRDefault="008108A1" w:rsidP="005104FB">
            <w:pPr>
              <w:tabs>
                <w:tab w:val="left" w:pos="993"/>
              </w:tabs>
              <w:jc w:val="center"/>
              <w:rPr>
                <w:sz w:val="27"/>
                <w:szCs w:val="27"/>
              </w:rPr>
            </w:pPr>
            <w:r w:rsidRPr="00716CA6">
              <w:rPr>
                <w:sz w:val="27"/>
                <w:szCs w:val="27"/>
              </w:rPr>
              <w:t>129,1</w:t>
            </w:r>
          </w:p>
        </w:tc>
        <w:tc>
          <w:tcPr>
            <w:tcW w:w="1559" w:type="dxa"/>
            <w:shd w:val="clear" w:color="auto" w:fill="auto"/>
          </w:tcPr>
          <w:p w:rsidR="008108A1" w:rsidRPr="00716CA6" w:rsidRDefault="008108A1" w:rsidP="005104FB">
            <w:pPr>
              <w:tabs>
                <w:tab w:val="left" w:pos="993"/>
              </w:tabs>
              <w:jc w:val="center"/>
              <w:rPr>
                <w:sz w:val="27"/>
                <w:szCs w:val="27"/>
              </w:rPr>
            </w:pPr>
            <w:r w:rsidRPr="00716CA6">
              <w:rPr>
                <w:sz w:val="27"/>
                <w:szCs w:val="27"/>
              </w:rPr>
              <w:t>202,1</w:t>
            </w:r>
          </w:p>
        </w:tc>
        <w:tc>
          <w:tcPr>
            <w:tcW w:w="1417" w:type="dxa"/>
            <w:shd w:val="clear" w:color="auto" w:fill="auto"/>
          </w:tcPr>
          <w:p w:rsidR="008108A1" w:rsidRPr="00716CA6" w:rsidRDefault="0041090D" w:rsidP="005104FB">
            <w:pPr>
              <w:tabs>
                <w:tab w:val="left" w:pos="993"/>
              </w:tabs>
              <w:jc w:val="center"/>
              <w:rPr>
                <w:sz w:val="27"/>
                <w:szCs w:val="27"/>
              </w:rPr>
            </w:pPr>
            <w:r>
              <w:rPr>
                <w:sz w:val="27"/>
                <w:szCs w:val="27"/>
              </w:rPr>
              <w:t>176,8</w:t>
            </w:r>
          </w:p>
        </w:tc>
      </w:tr>
      <w:tr w:rsidR="00716CA6" w:rsidRPr="00716CA6" w:rsidTr="008108A1">
        <w:tc>
          <w:tcPr>
            <w:tcW w:w="5098" w:type="dxa"/>
          </w:tcPr>
          <w:p w:rsidR="008108A1" w:rsidRPr="00716CA6" w:rsidRDefault="008108A1" w:rsidP="005104FB">
            <w:pPr>
              <w:tabs>
                <w:tab w:val="left" w:pos="993"/>
              </w:tabs>
              <w:jc w:val="both"/>
              <w:rPr>
                <w:sz w:val="28"/>
                <w:szCs w:val="28"/>
              </w:rPr>
            </w:pPr>
            <w:r w:rsidRPr="00716CA6">
              <w:rPr>
                <w:sz w:val="28"/>
                <w:szCs w:val="28"/>
              </w:rPr>
              <w:t>Частка реалізованої продукції для побутових потреб населення у загальному обсязі реалізації, %</w:t>
            </w:r>
          </w:p>
        </w:tc>
        <w:tc>
          <w:tcPr>
            <w:tcW w:w="1560" w:type="dxa"/>
            <w:shd w:val="clear" w:color="auto" w:fill="auto"/>
          </w:tcPr>
          <w:p w:rsidR="008108A1" w:rsidRPr="00716CA6" w:rsidRDefault="008108A1" w:rsidP="005104FB">
            <w:pPr>
              <w:tabs>
                <w:tab w:val="left" w:pos="993"/>
              </w:tabs>
              <w:jc w:val="center"/>
              <w:rPr>
                <w:sz w:val="27"/>
                <w:szCs w:val="27"/>
              </w:rPr>
            </w:pPr>
            <w:r w:rsidRPr="00716CA6">
              <w:rPr>
                <w:sz w:val="27"/>
                <w:szCs w:val="27"/>
              </w:rPr>
              <w:t>86,1</w:t>
            </w:r>
          </w:p>
        </w:tc>
        <w:tc>
          <w:tcPr>
            <w:tcW w:w="1559" w:type="dxa"/>
            <w:shd w:val="clear" w:color="auto" w:fill="auto"/>
          </w:tcPr>
          <w:p w:rsidR="008108A1" w:rsidRPr="00716CA6" w:rsidRDefault="008108A1" w:rsidP="005104FB">
            <w:pPr>
              <w:tabs>
                <w:tab w:val="left" w:pos="993"/>
              </w:tabs>
              <w:jc w:val="center"/>
              <w:rPr>
                <w:sz w:val="27"/>
                <w:szCs w:val="27"/>
              </w:rPr>
            </w:pPr>
            <w:r w:rsidRPr="00716CA6">
              <w:rPr>
                <w:sz w:val="27"/>
                <w:szCs w:val="27"/>
              </w:rPr>
              <w:t>81,7</w:t>
            </w:r>
          </w:p>
        </w:tc>
        <w:tc>
          <w:tcPr>
            <w:tcW w:w="1417" w:type="dxa"/>
            <w:shd w:val="clear" w:color="auto" w:fill="auto"/>
          </w:tcPr>
          <w:p w:rsidR="008108A1" w:rsidRPr="00716CA6" w:rsidRDefault="0041090D" w:rsidP="005104FB">
            <w:pPr>
              <w:tabs>
                <w:tab w:val="left" w:pos="993"/>
              </w:tabs>
              <w:jc w:val="center"/>
              <w:rPr>
                <w:sz w:val="27"/>
                <w:szCs w:val="27"/>
              </w:rPr>
            </w:pPr>
            <w:r>
              <w:rPr>
                <w:sz w:val="27"/>
                <w:szCs w:val="27"/>
              </w:rPr>
              <w:t>85,5</w:t>
            </w:r>
          </w:p>
        </w:tc>
      </w:tr>
    </w:tbl>
    <w:p w:rsidR="006D79CC" w:rsidRPr="00C531CD" w:rsidRDefault="006D79CC" w:rsidP="006D79CC">
      <w:pPr>
        <w:tabs>
          <w:tab w:val="left" w:pos="993"/>
        </w:tabs>
        <w:ind w:firstLine="709"/>
        <w:jc w:val="both"/>
        <w:rPr>
          <w:noProof/>
          <w:sz w:val="28"/>
          <w:szCs w:val="20"/>
        </w:rPr>
      </w:pPr>
      <w:r w:rsidRPr="00C531CD">
        <w:rPr>
          <w:noProof/>
          <w:sz w:val="28"/>
          <w:szCs w:val="20"/>
        </w:rPr>
        <w:t xml:space="preserve">Основними чинниками підвищення вартості дров є зростання складових собівартості заготівлі (зокрема, </w:t>
      </w:r>
      <w:bookmarkStart w:id="0" w:name="_GoBack"/>
      <w:bookmarkEnd w:id="0"/>
      <w:r w:rsidRPr="00C531CD">
        <w:rPr>
          <w:noProof/>
          <w:sz w:val="28"/>
          <w:szCs w:val="20"/>
        </w:rPr>
        <w:t>витрат на паливно-мастильні та інші витратні матеріали, заробітну плату) та збільшення ставки податку за спеціальне використання лісових ресурсів.</w:t>
      </w:r>
    </w:p>
    <w:p w:rsidR="00D17B9A" w:rsidRPr="00C531CD" w:rsidRDefault="00C248E8" w:rsidP="00EA6659">
      <w:pPr>
        <w:tabs>
          <w:tab w:val="left" w:pos="993"/>
        </w:tabs>
        <w:ind w:firstLine="709"/>
        <w:jc w:val="both"/>
        <w:rPr>
          <w:noProof/>
          <w:sz w:val="28"/>
          <w:szCs w:val="20"/>
        </w:rPr>
      </w:pPr>
      <w:r w:rsidRPr="00C531CD">
        <w:rPr>
          <w:noProof/>
          <w:sz w:val="28"/>
          <w:szCs w:val="20"/>
        </w:rPr>
        <w:t xml:space="preserve">За інформацію </w:t>
      </w:r>
      <w:r w:rsidR="00800063">
        <w:rPr>
          <w:noProof/>
          <w:sz w:val="28"/>
          <w:szCs w:val="20"/>
        </w:rPr>
        <w:t xml:space="preserve">окремих </w:t>
      </w:r>
      <w:r w:rsidRPr="00C531CD">
        <w:rPr>
          <w:noProof/>
          <w:sz w:val="28"/>
          <w:szCs w:val="20"/>
        </w:rPr>
        <w:t>лісових господарств</w:t>
      </w:r>
      <w:r w:rsidR="00445B1C" w:rsidRPr="00C531CD">
        <w:rPr>
          <w:noProof/>
          <w:sz w:val="28"/>
          <w:szCs w:val="20"/>
        </w:rPr>
        <w:t>,</w:t>
      </w:r>
      <w:r w:rsidRPr="00C531CD">
        <w:rPr>
          <w:noProof/>
          <w:sz w:val="28"/>
          <w:szCs w:val="20"/>
        </w:rPr>
        <w:t xml:space="preserve"> </w:t>
      </w:r>
      <w:r w:rsidR="00445B1C" w:rsidRPr="00C531CD">
        <w:rPr>
          <w:noProof/>
          <w:sz w:val="28"/>
          <w:szCs w:val="20"/>
        </w:rPr>
        <w:t xml:space="preserve">у </w:t>
      </w:r>
      <w:r w:rsidR="00C531CD" w:rsidRPr="00C531CD">
        <w:rPr>
          <w:noProof/>
          <w:sz w:val="28"/>
          <w:szCs w:val="20"/>
        </w:rPr>
        <w:t>2023 році</w:t>
      </w:r>
      <w:r w:rsidR="00445B1C" w:rsidRPr="00C531CD">
        <w:rPr>
          <w:noProof/>
          <w:sz w:val="28"/>
          <w:szCs w:val="20"/>
        </w:rPr>
        <w:t xml:space="preserve"> </w:t>
      </w:r>
      <w:r w:rsidR="00800063">
        <w:rPr>
          <w:noProof/>
          <w:sz w:val="28"/>
          <w:szCs w:val="20"/>
        </w:rPr>
        <w:t>5</w:t>
      </w:r>
      <w:r w:rsidRPr="00C531CD">
        <w:rPr>
          <w:noProof/>
          <w:sz w:val="28"/>
          <w:szCs w:val="20"/>
        </w:rPr>
        <w:t xml:space="preserve"> підприємств мали прибутковий результат </w:t>
      </w:r>
      <w:r w:rsidR="00CA7858" w:rsidRPr="00C531CD">
        <w:rPr>
          <w:noProof/>
          <w:sz w:val="28"/>
          <w:szCs w:val="20"/>
        </w:rPr>
        <w:t xml:space="preserve">діяльності </w:t>
      </w:r>
      <w:r w:rsidRPr="00C531CD">
        <w:rPr>
          <w:noProof/>
          <w:sz w:val="28"/>
          <w:szCs w:val="20"/>
        </w:rPr>
        <w:t>(</w:t>
      </w:r>
      <w:r w:rsidR="00CA7858" w:rsidRPr="00C531CD">
        <w:rPr>
          <w:noProof/>
          <w:sz w:val="28"/>
          <w:szCs w:val="20"/>
        </w:rPr>
        <w:t>«Висоцьке лісове господарство», «Дубенське лісове господарство», «К</w:t>
      </w:r>
      <w:r w:rsidR="00800063">
        <w:rPr>
          <w:noProof/>
          <w:sz w:val="28"/>
          <w:szCs w:val="20"/>
        </w:rPr>
        <w:t>остопільське</w:t>
      </w:r>
      <w:r w:rsidR="00CA7858" w:rsidRPr="00C531CD">
        <w:rPr>
          <w:noProof/>
          <w:sz w:val="28"/>
          <w:szCs w:val="20"/>
        </w:rPr>
        <w:t xml:space="preserve"> лісове господарство», «Рокитнівське лісове господарство», </w:t>
      </w:r>
      <w:r w:rsidRPr="00C531CD">
        <w:rPr>
          <w:noProof/>
          <w:sz w:val="28"/>
          <w:szCs w:val="20"/>
        </w:rPr>
        <w:t>«Соснівське лісове господарство»</w:t>
      </w:r>
      <w:r w:rsidR="008108A1" w:rsidRPr="00C531CD">
        <w:rPr>
          <w:noProof/>
          <w:sz w:val="28"/>
          <w:szCs w:val="20"/>
        </w:rPr>
        <w:t xml:space="preserve">). </w:t>
      </w:r>
    </w:p>
    <w:p w:rsidR="0062099A" w:rsidRPr="00A31ACD" w:rsidRDefault="0062099A" w:rsidP="0062099A">
      <w:pPr>
        <w:tabs>
          <w:tab w:val="left" w:pos="993"/>
        </w:tabs>
        <w:ind w:firstLine="709"/>
        <w:jc w:val="both"/>
        <w:rPr>
          <w:sz w:val="28"/>
          <w:szCs w:val="28"/>
        </w:rPr>
      </w:pPr>
      <w:r w:rsidRPr="00B31773">
        <w:rPr>
          <w:sz w:val="28"/>
          <w:szCs w:val="28"/>
        </w:rPr>
        <w:lastRenderedPageBreak/>
        <w:t xml:space="preserve">Рівень поінформованості суб’єктів господарювання та/або фізичних осіб з основних положень </w:t>
      </w:r>
      <w:r>
        <w:rPr>
          <w:sz w:val="28"/>
          <w:szCs w:val="28"/>
        </w:rPr>
        <w:t>регуляторного акта</w:t>
      </w:r>
      <w:r w:rsidRPr="00B31773">
        <w:rPr>
          <w:sz w:val="28"/>
          <w:szCs w:val="28"/>
        </w:rPr>
        <w:t xml:space="preserve"> є достатнім.</w:t>
      </w:r>
      <w:r>
        <w:rPr>
          <w:sz w:val="28"/>
          <w:szCs w:val="28"/>
        </w:rPr>
        <w:t xml:space="preserve"> Розпорядження</w:t>
      </w:r>
      <w:r w:rsidRPr="00A31ACD">
        <w:rPr>
          <w:sz w:val="28"/>
          <w:szCs w:val="28"/>
        </w:rPr>
        <w:t xml:space="preserve"> розміщен</w:t>
      </w:r>
      <w:r>
        <w:rPr>
          <w:sz w:val="28"/>
          <w:szCs w:val="28"/>
        </w:rPr>
        <w:t>о</w:t>
      </w:r>
      <w:r w:rsidRPr="00A31ACD">
        <w:rPr>
          <w:sz w:val="28"/>
          <w:szCs w:val="28"/>
        </w:rPr>
        <w:t xml:space="preserve"> на офіційному </w:t>
      </w:r>
      <w:proofErr w:type="spellStart"/>
      <w:r w:rsidRPr="00A31ACD">
        <w:rPr>
          <w:sz w:val="28"/>
          <w:szCs w:val="28"/>
        </w:rPr>
        <w:t>вебсайті</w:t>
      </w:r>
      <w:proofErr w:type="spellEnd"/>
      <w:r w:rsidRPr="00A31ACD">
        <w:rPr>
          <w:sz w:val="28"/>
          <w:szCs w:val="28"/>
        </w:rPr>
        <w:t xml:space="preserve"> Рівненської обласної державної адміністрації, інформація на якому доступна та відкрита для користувача</w:t>
      </w:r>
      <w:r>
        <w:rPr>
          <w:sz w:val="28"/>
          <w:szCs w:val="28"/>
        </w:rPr>
        <w:t>.</w:t>
      </w:r>
    </w:p>
    <w:p w:rsidR="00FC3497" w:rsidRPr="00C531CD" w:rsidRDefault="00FC3497" w:rsidP="00EA6659">
      <w:pPr>
        <w:tabs>
          <w:tab w:val="left" w:pos="993"/>
        </w:tabs>
        <w:ind w:firstLine="709"/>
        <w:jc w:val="both"/>
        <w:rPr>
          <w:noProof/>
          <w:sz w:val="28"/>
          <w:szCs w:val="20"/>
        </w:rPr>
      </w:pPr>
    </w:p>
    <w:p w:rsidR="00EA6659" w:rsidRPr="008108A1" w:rsidRDefault="00EA6659" w:rsidP="00EA6659">
      <w:pPr>
        <w:numPr>
          <w:ilvl w:val="1"/>
          <w:numId w:val="1"/>
        </w:numPr>
        <w:tabs>
          <w:tab w:val="clear" w:pos="2160"/>
          <w:tab w:val="left" w:pos="993"/>
        </w:tabs>
        <w:ind w:left="0" w:firstLine="709"/>
        <w:jc w:val="both"/>
        <w:rPr>
          <w:b/>
          <w:sz w:val="28"/>
          <w:szCs w:val="28"/>
        </w:rPr>
      </w:pPr>
      <w:r w:rsidRPr="008108A1">
        <w:rPr>
          <w:b/>
          <w:bCs/>
          <w:sz w:val="28"/>
          <w:szCs w:val="28"/>
        </w:rPr>
        <w:t>Оцінка результатів реалізації регуляторного акта та ступеня досягнення визначених цілей</w:t>
      </w:r>
    </w:p>
    <w:p w:rsidR="00EA6659" w:rsidRPr="008108A1" w:rsidRDefault="00CA7548" w:rsidP="00EA6659">
      <w:pPr>
        <w:tabs>
          <w:tab w:val="left" w:pos="993"/>
        </w:tabs>
        <w:ind w:firstLine="709"/>
        <w:jc w:val="both"/>
        <w:rPr>
          <w:noProof/>
          <w:sz w:val="28"/>
        </w:rPr>
      </w:pPr>
      <w:r w:rsidRPr="008108A1">
        <w:rPr>
          <w:noProof/>
          <w:sz w:val="28"/>
        </w:rPr>
        <w:t>Реалізація розпорядження</w:t>
      </w:r>
      <w:r w:rsidR="00EA6659" w:rsidRPr="008108A1">
        <w:rPr>
          <w:noProof/>
          <w:sz w:val="28"/>
        </w:rPr>
        <w:t xml:space="preserve"> стримує необгрунтоване зростання цін на окремі паливно-ен</w:t>
      </w:r>
      <w:r w:rsidR="00664287">
        <w:rPr>
          <w:noProof/>
          <w:sz w:val="28"/>
        </w:rPr>
        <w:t>ергетичні ресурси</w:t>
      </w:r>
      <w:r w:rsidRPr="008108A1">
        <w:rPr>
          <w:noProof/>
          <w:sz w:val="28"/>
        </w:rPr>
        <w:t>, що відпускаються</w:t>
      </w:r>
      <w:r w:rsidR="006A10E6" w:rsidRPr="008108A1">
        <w:rPr>
          <w:noProof/>
          <w:sz w:val="28"/>
        </w:rPr>
        <w:t xml:space="preserve"> населенню для побутових потреб</w:t>
      </w:r>
      <w:r w:rsidRPr="008108A1">
        <w:rPr>
          <w:noProof/>
          <w:sz w:val="28"/>
        </w:rPr>
        <w:t>.</w:t>
      </w:r>
    </w:p>
    <w:p w:rsidR="00091449" w:rsidRPr="008108A1" w:rsidRDefault="00091449" w:rsidP="00091449">
      <w:pPr>
        <w:tabs>
          <w:tab w:val="left" w:pos="993"/>
        </w:tabs>
        <w:ind w:firstLine="709"/>
        <w:jc w:val="both"/>
        <w:rPr>
          <w:noProof/>
          <w:sz w:val="28"/>
          <w:szCs w:val="20"/>
        </w:rPr>
      </w:pPr>
      <w:r w:rsidRPr="008108A1">
        <w:rPr>
          <w:noProof/>
          <w:sz w:val="28"/>
          <w:szCs w:val="20"/>
        </w:rPr>
        <w:t>У червні 2021 року Головним управлінням Держпродспоживслужби в Рівненській області проведено 1 плановий захід, за результатами якого виявлено порушення державної дисципліни цін під час формування та зстосування тарифів на деревину дров’яну (дрова) для непромислового використання. Суб’єктом господарювання застосовано економічно необгрунтовані ціни на дрова (рентабельність, закладена в розрахунку перевищувала встановлений граничний рівень). На суб’єкта господарювання накладено штраф за порушення державної дисципліни цін.</w:t>
      </w:r>
    </w:p>
    <w:p w:rsidR="00091449" w:rsidRPr="008108A1" w:rsidRDefault="00091449" w:rsidP="00091449">
      <w:pPr>
        <w:tabs>
          <w:tab w:val="left" w:pos="993"/>
        </w:tabs>
        <w:ind w:firstLine="709"/>
        <w:jc w:val="both"/>
        <w:rPr>
          <w:noProof/>
          <w:sz w:val="28"/>
          <w:szCs w:val="20"/>
        </w:rPr>
      </w:pPr>
      <w:r w:rsidRPr="008108A1">
        <w:rPr>
          <w:noProof/>
          <w:sz w:val="28"/>
          <w:szCs w:val="20"/>
        </w:rPr>
        <w:t>Протягом 2022-2023 років заходи державного нагляду (контролю) за дотриманням суб’єктами господарювання державної дисципліни цін при формуванні, встановленні та застосуванні цін на паливно-енергетичні ресурси, що відпускаються населенню для побутових потреб, не проводилися.</w:t>
      </w:r>
    </w:p>
    <w:p w:rsidR="00EA6659" w:rsidRPr="008108A1" w:rsidRDefault="00091449" w:rsidP="00EA6659">
      <w:pPr>
        <w:tabs>
          <w:tab w:val="left" w:pos="993"/>
        </w:tabs>
        <w:ind w:firstLine="709"/>
        <w:jc w:val="both"/>
        <w:rPr>
          <w:sz w:val="28"/>
        </w:rPr>
      </w:pPr>
      <w:r w:rsidRPr="008108A1">
        <w:rPr>
          <w:sz w:val="28"/>
        </w:rPr>
        <w:t>Регуляторний акт внесення змін чи доповнень до нього не потребує.</w:t>
      </w:r>
    </w:p>
    <w:p w:rsidR="00EA6659" w:rsidRPr="00091449" w:rsidRDefault="00EA6659" w:rsidP="00310D4D">
      <w:pPr>
        <w:tabs>
          <w:tab w:val="left" w:pos="993"/>
        </w:tabs>
        <w:jc w:val="both"/>
        <w:rPr>
          <w:sz w:val="28"/>
        </w:rPr>
      </w:pPr>
    </w:p>
    <w:p w:rsidR="00310D4D" w:rsidRDefault="00310D4D" w:rsidP="00310D4D">
      <w:pPr>
        <w:tabs>
          <w:tab w:val="left" w:pos="993"/>
        </w:tabs>
        <w:jc w:val="both"/>
        <w:rPr>
          <w:sz w:val="28"/>
        </w:rPr>
      </w:pPr>
    </w:p>
    <w:p w:rsidR="00295735" w:rsidRPr="00EA6659" w:rsidRDefault="00295735" w:rsidP="00310D4D">
      <w:pPr>
        <w:tabs>
          <w:tab w:val="left" w:pos="993"/>
        </w:tabs>
        <w:jc w:val="both"/>
        <w:rPr>
          <w:sz w:val="28"/>
        </w:rPr>
      </w:pPr>
    </w:p>
    <w:p w:rsidR="00310D4D" w:rsidRPr="00310D4D" w:rsidRDefault="00310D4D" w:rsidP="00310D4D">
      <w:pPr>
        <w:jc w:val="both"/>
        <w:rPr>
          <w:sz w:val="28"/>
        </w:rPr>
      </w:pPr>
      <w:r w:rsidRPr="00310D4D">
        <w:rPr>
          <w:sz w:val="28"/>
        </w:rPr>
        <w:t>Начальник Рівненської обласної</w:t>
      </w:r>
    </w:p>
    <w:p w:rsidR="00EA6659" w:rsidRPr="00EA6659" w:rsidRDefault="00310D4D" w:rsidP="00310D4D">
      <w:pPr>
        <w:jc w:val="both"/>
        <w:rPr>
          <w:sz w:val="28"/>
        </w:rPr>
      </w:pPr>
      <w:r w:rsidRPr="00310D4D">
        <w:rPr>
          <w:sz w:val="28"/>
        </w:rPr>
        <w:t>військової адміністрації</w:t>
      </w:r>
      <w:r w:rsidRPr="00310D4D">
        <w:rPr>
          <w:sz w:val="28"/>
        </w:rPr>
        <w:tab/>
      </w:r>
      <w:r w:rsidRPr="00310D4D">
        <w:rPr>
          <w:sz w:val="28"/>
        </w:rPr>
        <w:tab/>
      </w:r>
      <w:r w:rsidRPr="00310D4D">
        <w:rPr>
          <w:sz w:val="28"/>
        </w:rPr>
        <w:tab/>
      </w:r>
      <w:r w:rsidRPr="00310D4D">
        <w:rPr>
          <w:sz w:val="28"/>
        </w:rPr>
        <w:tab/>
      </w:r>
      <w:r w:rsidRPr="00310D4D">
        <w:rPr>
          <w:sz w:val="28"/>
        </w:rPr>
        <w:tab/>
      </w:r>
      <w:r w:rsidRPr="00310D4D">
        <w:rPr>
          <w:sz w:val="28"/>
        </w:rPr>
        <w:tab/>
      </w:r>
      <w:r w:rsidR="0035424D">
        <w:rPr>
          <w:sz w:val="28"/>
        </w:rPr>
        <w:t>Олександр</w:t>
      </w:r>
      <w:r w:rsidRPr="00310D4D">
        <w:rPr>
          <w:sz w:val="28"/>
        </w:rPr>
        <w:t xml:space="preserve"> КОВАЛЬ</w:t>
      </w:r>
    </w:p>
    <w:p w:rsidR="00EA6659" w:rsidRDefault="00EA6659" w:rsidP="00EA6659">
      <w:pPr>
        <w:jc w:val="both"/>
        <w:rPr>
          <w:sz w:val="28"/>
        </w:rPr>
      </w:pPr>
    </w:p>
    <w:p w:rsidR="00295735" w:rsidRDefault="00295735" w:rsidP="00EA6659">
      <w:pPr>
        <w:jc w:val="both"/>
        <w:rPr>
          <w:sz w:val="28"/>
        </w:rPr>
      </w:pPr>
    </w:p>
    <w:p w:rsidR="006A10E6" w:rsidRDefault="006A10E6" w:rsidP="00EA6659">
      <w:pPr>
        <w:jc w:val="both"/>
        <w:rPr>
          <w:sz w:val="28"/>
        </w:rPr>
      </w:pPr>
    </w:p>
    <w:p w:rsidR="00295735" w:rsidRDefault="00295735" w:rsidP="00EA6659">
      <w:pPr>
        <w:jc w:val="both"/>
        <w:rPr>
          <w:sz w:val="28"/>
        </w:rPr>
      </w:pPr>
    </w:p>
    <w:p w:rsidR="00664287" w:rsidRDefault="00664287" w:rsidP="00EA6659">
      <w:pPr>
        <w:jc w:val="both"/>
        <w:rPr>
          <w:sz w:val="28"/>
        </w:rPr>
      </w:pPr>
    </w:p>
    <w:p w:rsidR="00664287" w:rsidRDefault="00664287" w:rsidP="00EA6659">
      <w:pPr>
        <w:jc w:val="both"/>
        <w:rPr>
          <w:sz w:val="28"/>
        </w:rPr>
      </w:pPr>
    </w:p>
    <w:p w:rsidR="00664287" w:rsidRDefault="00664287" w:rsidP="00EA6659">
      <w:pPr>
        <w:jc w:val="both"/>
        <w:rPr>
          <w:sz w:val="28"/>
        </w:rPr>
      </w:pPr>
    </w:p>
    <w:p w:rsidR="00664287" w:rsidRDefault="00664287" w:rsidP="00EA6659">
      <w:pPr>
        <w:jc w:val="both"/>
        <w:rPr>
          <w:sz w:val="28"/>
        </w:rPr>
      </w:pPr>
    </w:p>
    <w:p w:rsidR="00664287" w:rsidRDefault="00664287" w:rsidP="00EA6659">
      <w:pPr>
        <w:jc w:val="both"/>
        <w:rPr>
          <w:sz w:val="28"/>
        </w:rPr>
      </w:pPr>
    </w:p>
    <w:p w:rsidR="00664287" w:rsidRDefault="00664287" w:rsidP="00EA6659">
      <w:pPr>
        <w:jc w:val="both"/>
        <w:rPr>
          <w:sz w:val="28"/>
        </w:rPr>
      </w:pPr>
    </w:p>
    <w:p w:rsidR="00664287" w:rsidRDefault="00664287" w:rsidP="00EA6659">
      <w:pPr>
        <w:jc w:val="both"/>
        <w:rPr>
          <w:sz w:val="28"/>
        </w:rPr>
      </w:pPr>
    </w:p>
    <w:p w:rsidR="00664287" w:rsidRDefault="00664287" w:rsidP="00EA6659">
      <w:pPr>
        <w:jc w:val="both"/>
        <w:rPr>
          <w:sz w:val="28"/>
        </w:rPr>
      </w:pPr>
    </w:p>
    <w:p w:rsidR="00664287" w:rsidRDefault="00664287" w:rsidP="00EA6659">
      <w:pPr>
        <w:jc w:val="both"/>
        <w:rPr>
          <w:sz w:val="28"/>
        </w:rPr>
      </w:pPr>
    </w:p>
    <w:p w:rsidR="00664287" w:rsidRDefault="00664287" w:rsidP="00EA6659">
      <w:pPr>
        <w:jc w:val="both"/>
        <w:rPr>
          <w:sz w:val="28"/>
        </w:rPr>
      </w:pPr>
    </w:p>
    <w:p w:rsidR="00664287" w:rsidRDefault="00664287" w:rsidP="00EA6659">
      <w:pPr>
        <w:jc w:val="both"/>
        <w:rPr>
          <w:sz w:val="28"/>
        </w:rPr>
      </w:pPr>
    </w:p>
    <w:p w:rsidR="00295735" w:rsidRPr="00EA6659" w:rsidRDefault="00295735" w:rsidP="00EA6659">
      <w:pPr>
        <w:jc w:val="both"/>
        <w:rPr>
          <w:sz w:val="28"/>
        </w:rPr>
      </w:pPr>
    </w:p>
    <w:p w:rsidR="00506BDB" w:rsidRDefault="008108A1" w:rsidP="004E38BC">
      <w:pPr>
        <w:jc w:val="both"/>
      </w:pPr>
      <w:r>
        <w:rPr>
          <w:sz w:val="16"/>
          <w:szCs w:val="16"/>
        </w:rPr>
        <w:t>7-6377</w:t>
      </w:r>
    </w:p>
    <w:sectPr w:rsidR="00506BDB" w:rsidSect="00FB4FE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16EFD"/>
    <w:multiLevelType w:val="hybridMultilevel"/>
    <w:tmpl w:val="860ABC42"/>
    <w:lvl w:ilvl="0" w:tplc="0422000F">
      <w:start w:val="1"/>
      <w:numFmt w:val="decimal"/>
      <w:lvlText w:val="%1."/>
      <w:lvlJc w:val="left"/>
      <w:pPr>
        <w:tabs>
          <w:tab w:val="num" w:pos="2160"/>
        </w:tabs>
        <w:ind w:left="2160" w:hanging="360"/>
      </w:pPr>
    </w:lvl>
    <w:lvl w:ilvl="1" w:tplc="B5BEB844">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E5"/>
    <w:rsid w:val="00023CD2"/>
    <w:rsid w:val="000332E9"/>
    <w:rsid w:val="000353C4"/>
    <w:rsid w:val="00042F2F"/>
    <w:rsid w:val="000437D8"/>
    <w:rsid w:val="0005525D"/>
    <w:rsid w:val="00084B31"/>
    <w:rsid w:val="00091449"/>
    <w:rsid w:val="000A48E1"/>
    <w:rsid w:val="000C7E22"/>
    <w:rsid w:val="000D7DED"/>
    <w:rsid w:val="000F329C"/>
    <w:rsid w:val="00125539"/>
    <w:rsid w:val="001262BC"/>
    <w:rsid w:val="00137FE5"/>
    <w:rsid w:val="001455B3"/>
    <w:rsid w:val="001545A9"/>
    <w:rsid w:val="0015552C"/>
    <w:rsid w:val="00160ED5"/>
    <w:rsid w:val="001B3BD5"/>
    <w:rsid w:val="001D3BAB"/>
    <w:rsid w:val="001E2A02"/>
    <w:rsid w:val="0022054E"/>
    <w:rsid w:val="00252CA6"/>
    <w:rsid w:val="0026758C"/>
    <w:rsid w:val="002851FD"/>
    <w:rsid w:val="00295735"/>
    <w:rsid w:val="002B31BA"/>
    <w:rsid w:val="002E3311"/>
    <w:rsid w:val="00310D4D"/>
    <w:rsid w:val="0031350A"/>
    <w:rsid w:val="00347B88"/>
    <w:rsid w:val="0035424D"/>
    <w:rsid w:val="003546D4"/>
    <w:rsid w:val="003731CB"/>
    <w:rsid w:val="003B59BF"/>
    <w:rsid w:val="003E0078"/>
    <w:rsid w:val="003F68C6"/>
    <w:rsid w:val="00407841"/>
    <w:rsid w:val="0041090D"/>
    <w:rsid w:val="004140B6"/>
    <w:rsid w:val="00431160"/>
    <w:rsid w:val="00445B1C"/>
    <w:rsid w:val="004B1690"/>
    <w:rsid w:val="004D455F"/>
    <w:rsid w:val="004E38BC"/>
    <w:rsid w:val="00506BDB"/>
    <w:rsid w:val="00576337"/>
    <w:rsid w:val="005E49EC"/>
    <w:rsid w:val="005F172D"/>
    <w:rsid w:val="00607EBC"/>
    <w:rsid w:val="0062099A"/>
    <w:rsid w:val="00637263"/>
    <w:rsid w:val="006423D5"/>
    <w:rsid w:val="00664287"/>
    <w:rsid w:val="006918BD"/>
    <w:rsid w:val="006A10E6"/>
    <w:rsid w:val="006D79CC"/>
    <w:rsid w:val="00711525"/>
    <w:rsid w:val="00716CA6"/>
    <w:rsid w:val="00717810"/>
    <w:rsid w:val="00741AF7"/>
    <w:rsid w:val="00782603"/>
    <w:rsid w:val="00785FBE"/>
    <w:rsid w:val="007A5813"/>
    <w:rsid w:val="007A7C38"/>
    <w:rsid w:val="00800063"/>
    <w:rsid w:val="00802204"/>
    <w:rsid w:val="008108A1"/>
    <w:rsid w:val="00817EB3"/>
    <w:rsid w:val="00827AA8"/>
    <w:rsid w:val="00857105"/>
    <w:rsid w:val="008B6FA5"/>
    <w:rsid w:val="008E719D"/>
    <w:rsid w:val="00906329"/>
    <w:rsid w:val="00947606"/>
    <w:rsid w:val="009A1077"/>
    <w:rsid w:val="009E1EBA"/>
    <w:rsid w:val="009E270F"/>
    <w:rsid w:val="00A14313"/>
    <w:rsid w:val="00A31ACD"/>
    <w:rsid w:val="00A65342"/>
    <w:rsid w:val="00AB6046"/>
    <w:rsid w:val="00AB6455"/>
    <w:rsid w:val="00AB7EC1"/>
    <w:rsid w:val="00AC2933"/>
    <w:rsid w:val="00AD41CC"/>
    <w:rsid w:val="00AF2755"/>
    <w:rsid w:val="00B2319F"/>
    <w:rsid w:val="00B31773"/>
    <w:rsid w:val="00B3371F"/>
    <w:rsid w:val="00B41796"/>
    <w:rsid w:val="00B57E6A"/>
    <w:rsid w:val="00B661BC"/>
    <w:rsid w:val="00B70B44"/>
    <w:rsid w:val="00B83410"/>
    <w:rsid w:val="00B87972"/>
    <w:rsid w:val="00BA42E0"/>
    <w:rsid w:val="00BB042F"/>
    <w:rsid w:val="00BC6BB7"/>
    <w:rsid w:val="00C03AD1"/>
    <w:rsid w:val="00C248E8"/>
    <w:rsid w:val="00C531CD"/>
    <w:rsid w:val="00C8544F"/>
    <w:rsid w:val="00C86C2C"/>
    <w:rsid w:val="00C937BD"/>
    <w:rsid w:val="00CA3EEB"/>
    <w:rsid w:val="00CA7548"/>
    <w:rsid w:val="00CA7858"/>
    <w:rsid w:val="00CC5E28"/>
    <w:rsid w:val="00CD2723"/>
    <w:rsid w:val="00CE2722"/>
    <w:rsid w:val="00CE6D82"/>
    <w:rsid w:val="00CF3142"/>
    <w:rsid w:val="00D17630"/>
    <w:rsid w:val="00D17B9A"/>
    <w:rsid w:val="00D276AF"/>
    <w:rsid w:val="00D37741"/>
    <w:rsid w:val="00D532E2"/>
    <w:rsid w:val="00D533CF"/>
    <w:rsid w:val="00D663D3"/>
    <w:rsid w:val="00D70CFB"/>
    <w:rsid w:val="00D71850"/>
    <w:rsid w:val="00D92E8F"/>
    <w:rsid w:val="00DC2F53"/>
    <w:rsid w:val="00DD13A9"/>
    <w:rsid w:val="00DD3770"/>
    <w:rsid w:val="00DF2614"/>
    <w:rsid w:val="00E12481"/>
    <w:rsid w:val="00E15E9C"/>
    <w:rsid w:val="00E26CD7"/>
    <w:rsid w:val="00E433CE"/>
    <w:rsid w:val="00E47571"/>
    <w:rsid w:val="00E50EB1"/>
    <w:rsid w:val="00E60E5F"/>
    <w:rsid w:val="00EA0B9E"/>
    <w:rsid w:val="00EA2356"/>
    <w:rsid w:val="00EA6659"/>
    <w:rsid w:val="00EB3DFE"/>
    <w:rsid w:val="00F0214F"/>
    <w:rsid w:val="00F02D6C"/>
    <w:rsid w:val="00F23A4D"/>
    <w:rsid w:val="00F32400"/>
    <w:rsid w:val="00F32F35"/>
    <w:rsid w:val="00F551BE"/>
    <w:rsid w:val="00F762A1"/>
    <w:rsid w:val="00FB4FE3"/>
    <w:rsid w:val="00FC3497"/>
    <w:rsid w:val="00FE4ADD"/>
    <w:rsid w:val="00FF64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6C4C35-F4AF-4B36-8897-CD1E7D74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BDB"/>
    <w:rPr>
      <w:sz w:val="24"/>
      <w:szCs w:val="24"/>
      <w:lang w:eastAsia="ru-RU"/>
    </w:rPr>
  </w:style>
  <w:style w:type="paragraph" w:styleId="1">
    <w:name w:val="heading 1"/>
    <w:basedOn w:val="a"/>
    <w:next w:val="a"/>
    <w:qFormat/>
    <w:rsid w:val="00347B88"/>
    <w:pPr>
      <w:keepNext/>
      <w:spacing w:before="240" w:after="60"/>
      <w:outlineLvl w:val="0"/>
    </w:pPr>
    <w:rPr>
      <w:rFonts w:ascii="Arial" w:hAnsi="Arial" w:cs="Arial"/>
      <w:b/>
      <w:bCs/>
      <w:kern w:val="32"/>
      <w:sz w:val="32"/>
      <w:szCs w:val="32"/>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47B88"/>
    <w:pPr>
      <w:jc w:val="center"/>
    </w:pPr>
    <w:rPr>
      <w:rFonts w:ascii="Bookman Old Style" w:hAnsi="Bookman Old Style"/>
      <w:b/>
      <w:i/>
      <w:w w:val="101"/>
      <w:sz w:val="32"/>
      <w:szCs w:val="20"/>
    </w:rPr>
  </w:style>
  <w:style w:type="table" w:styleId="a4">
    <w:name w:val="Table Grid"/>
    <w:basedOn w:val="a1"/>
    <w:rsid w:val="00EA6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BA42E0"/>
    <w:rPr>
      <w:rFonts w:ascii="Segoe UI" w:hAnsi="Segoe UI" w:cs="Segoe UI"/>
      <w:sz w:val="18"/>
      <w:szCs w:val="18"/>
    </w:rPr>
  </w:style>
  <w:style w:type="character" w:customStyle="1" w:styleId="a6">
    <w:name w:val="Текст выноски Знак"/>
    <w:link w:val="a5"/>
    <w:rsid w:val="00BA42E0"/>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Pages>
  <Words>3620</Words>
  <Characters>2064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37</cp:revision>
  <cp:lastPrinted>2024-01-15T11:31:00Z</cp:lastPrinted>
  <dcterms:created xsi:type="dcterms:W3CDTF">2024-01-05T12:50:00Z</dcterms:created>
  <dcterms:modified xsi:type="dcterms:W3CDTF">2024-01-15T11:38:00Z</dcterms:modified>
</cp:coreProperties>
</file>