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BC2" w:rsidRPr="00DF7543" w:rsidRDefault="00515BC2" w:rsidP="00515BC2">
      <w:pPr>
        <w:ind w:left="5387"/>
        <w:jc w:val="both"/>
        <w:rPr>
          <w:rFonts w:ascii="Times New Roman" w:hAnsi="Times New Roman" w:cs="Times New Roman"/>
          <w:w w:val="101"/>
          <w:sz w:val="28"/>
          <w:szCs w:val="28"/>
          <w:lang w:val="uk-UA"/>
        </w:rPr>
      </w:pPr>
      <w:r w:rsidRPr="00DF7543">
        <w:rPr>
          <w:rFonts w:ascii="Times New Roman" w:hAnsi="Times New Roman" w:cs="Times New Roman"/>
          <w:w w:val="101"/>
          <w:sz w:val="28"/>
          <w:szCs w:val="28"/>
          <w:lang w:val="uk-UA"/>
        </w:rPr>
        <w:t>ЗАТВЕРДЖЕНО</w:t>
      </w:r>
    </w:p>
    <w:p w:rsidR="00515BC2" w:rsidRPr="00DF7543" w:rsidRDefault="00515BC2" w:rsidP="00515BC2">
      <w:pPr>
        <w:ind w:left="5387"/>
        <w:jc w:val="both"/>
        <w:rPr>
          <w:rFonts w:ascii="Times New Roman" w:hAnsi="Times New Roman" w:cs="Times New Roman"/>
          <w:w w:val="101"/>
          <w:sz w:val="28"/>
          <w:szCs w:val="28"/>
          <w:lang w:val="uk-UA"/>
        </w:rPr>
      </w:pPr>
    </w:p>
    <w:p w:rsidR="00515BC2" w:rsidRPr="00DF7543" w:rsidRDefault="00515BC2" w:rsidP="00515BC2">
      <w:pPr>
        <w:ind w:left="5387"/>
        <w:jc w:val="both"/>
        <w:rPr>
          <w:rFonts w:ascii="Times New Roman" w:hAnsi="Times New Roman" w:cs="Times New Roman"/>
          <w:w w:val="101"/>
          <w:sz w:val="28"/>
          <w:szCs w:val="28"/>
          <w:lang w:val="uk-UA"/>
        </w:rPr>
      </w:pPr>
      <w:r w:rsidRPr="00DF7543">
        <w:rPr>
          <w:rFonts w:ascii="Times New Roman" w:hAnsi="Times New Roman" w:cs="Times New Roman"/>
          <w:w w:val="101"/>
          <w:sz w:val="28"/>
          <w:szCs w:val="28"/>
          <w:lang w:val="uk-UA"/>
        </w:rPr>
        <w:t>Розпорядження голови</w:t>
      </w:r>
    </w:p>
    <w:p w:rsidR="00515BC2" w:rsidRPr="00DF7543" w:rsidRDefault="00515BC2" w:rsidP="00515BC2">
      <w:pPr>
        <w:ind w:left="5387"/>
        <w:jc w:val="both"/>
        <w:rPr>
          <w:rFonts w:ascii="Times New Roman" w:hAnsi="Times New Roman" w:cs="Times New Roman"/>
          <w:w w:val="101"/>
          <w:sz w:val="28"/>
          <w:szCs w:val="28"/>
          <w:lang w:val="uk-UA"/>
        </w:rPr>
      </w:pPr>
      <w:r w:rsidRPr="00DF7543">
        <w:rPr>
          <w:rFonts w:ascii="Times New Roman" w:hAnsi="Times New Roman" w:cs="Times New Roman"/>
          <w:w w:val="101"/>
          <w:sz w:val="28"/>
          <w:szCs w:val="28"/>
          <w:lang w:val="uk-UA"/>
        </w:rPr>
        <w:t xml:space="preserve">Рівненської обласної державної адміністрації – начальника Рівненської обласної військової </w:t>
      </w:r>
    </w:p>
    <w:p w:rsidR="00515BC2" w:rsidRPr="00DF7543" w:rsidRDefault="00515BC2" w:rsidP="00515BC2">
      <w:pPr>
        <w:ind w:left="5387"/>
        <w:jc w:val="both"/>
        <w:rPr>
          <w:rFonts w:ascii="Times New Roman" w:hAnsi="Times New Roman" w:cs="Times New Roman"/>
          <w:w w:val="101"/>
          <w:sz w:val="28"/>
          <w:szCs w:val="28"/>
          <w:lang w:val="uk-UA"/>
        </w:rPr>
      </w:pPr>
      <w:r w:rsidRPr="00DF7543">
        <w:rPr>
          <w:rFonts w:ascii="Times New Roman" w:hAnsi="Times New Roman" w:cs="Times New Roman"/>
          <w:w w:val="101"/>
          <w:sz w:val="28"/>
          <w:szCs w:val="28"/>
          <w:lang w:val="uk-UA"/>
        </w:rPr>
        <w:t>адміністрації</w:t>
      </w:r>
    </w:p>
    <w:p w:rsidR="00515BC2" w:rsidRPr="00DF7543" w:rsidRDefault="00515BC2" w:rsidP="00515BC2">
      <w:pPr>
        <w:ind w:left="5387"/>
        <w:jc w:val="both"/>
        <w:rPr>
          <w:rFonts w:ascii="Times New Roman" w:hAnsi="Times New Roman" w:cs="Times New Roman"/>
          <w:sz w:val="28"/>
          <w:szCs w:val="28"/>
          <w:lang w:val="uk-UA"/>
        </w:rPr>
      </w:pPr>
      <w:r w:rsidRPr="00DF7543">
        <w:rPr>
          <w:rFonts w:ascii="Times New Roman" w:hAnsi="Times New Roman" w:cs="Times New Roman"/>
          <w:w w:val="101"/>
          <w:sz w:val="28"/>
          <w:szCs w:val="28"/>
          <w:lang w:val="uk-UA"/>
        </w:rPr>
        <w:t xml:space="preserve">від </w:t>
      </w:r>
      <w:r w:rsidR="008A4B6C">
        <w:rPr>
          <w:rFonts w:ascii="Times New Roman" w:hAnsi="Times New Roman" w:cs="Times New Roman"/>
          <w:w w:val="101"/>
          <w:sz w:val="28"/>
          <w:szCs w:val="28"/>
          <w:lang w:val="uk-UA"/>
        </w:rPr>
        <w:t xml:space="preserve">29.11.2024 </w:t>
      </w:r>
      <w:r w:rsidRPr="00DF7543">
        <w:rPr>
          <w:rFonts w:ascii="Times New Roman" w:hAnsi="Times New Roman" w:cs="Times New Roman"/>
          <w:w w:val="101"/>
          <w:sz w:val="28"/>
          <w:szCs w:val="28"/>
          <w:lang w:val="uk-UA"/>
        </w:rPr>
        <w:t xml:space="preserve"> № </w:t>
      </w:r>
      <w:r w:rsidR="008A4B6C">
        <w:rPr>
          <w:rFonts w:ascii="Times New Roman" w:hAnsi="Times New Roman" w:cs="Times New Roman"/>
          <w:w w:val="101"/>
          <w:sz w:val="28"/>
          <w:szCs w:val="28"/>
          <w:lang w:val="uk-UA"/>
        </w:rPr>
        <w:t>677</w:t>
      </w:r>
      <w:bookmarkStart w:id="0" w:name="_GoBack"/>
      <w:bookmarkEnd w:id="0"/>
    </w:p>
    <w:p w:rsidR="00DF7543" w:rsidRDefault="00DF7543" w:rsidP="00515BC2">
      <w:pPr>
        <w:jc w:val="both"/>
        <w:rPr>
          <w:rFonts w:ascii="Times New Roman" w:hAnsi="Times New Roman" w:cs="Times New Roman"/>
          <w:sz w:val="28"/>
          <w:szCs w:val="28"/>
          <w:lang w:val="uk-UA"/>
        </w:rPr>
      </w:pPr>
    </w:p>
    <w:p w:rsidR="00515BC2" w:rsidRPr="00DF7543" w:rsidRDefault="00515BC2" w:rsidP="00515BC2">
      <w:pPr>
        <w:jc w:val="both"/>
        <w:rPr>
          <w:rFonts w:ascii="Times New Roman" w:hAnsi="Times New Roman" w:cs="Times New Roman"/>
          <w:sz w:val="28"/>
          <w:szCs w:val="28"/>
          <w:lang w:val="uk-UA"/>
        </w:rPr>
      </w:pPr>
      <w:r w:rsidRPr="00DF7543">
        <w:rPr>
          <w:rFonts w:ascii="Times New Roman" w:hAnsi="Times New Roman" w:cs="Times New Roman"/>
          <w:noProof/>
          <w:sz w:val="28"/>
          <w:szCs w:val="28"/>
          <w:lang w:val="uk-UA" w:eastAsia="uk-UA"/>
        </w:rPr>
        <w:drawing>
          <wp:anchor distT="0" distB="0" distL="114300" distR="114300" simplePos="0" relativeHeight="251659264" behindDoc="1" locked="0" layoutInCell="1" allowOverlap="1" wp14:anchorId="2F317548" wp14:editId="06ABD057">
            <wp:simplePos x="0" y="0"/>
            <wp:positionH relativeFrom="column">
              <wp:posOffset>2878455</wp:posOffset>
            </wp:positionH>
            <wp:positionV relativeFrom="paragraph">
              <wp:posOffset>0</wp:posOffset>
            </wp:positionV>
            <wp:extent cx="733425" cy="942975"/>
            <wp:effectExtent l="0" t="0" r="0" b="0"/>
            <wp:wrapTight wrapText="bothSides">
              <wp:wrapPolygon edited="0">
                <wp:start x="8977" y="0"/>
                <wp:lineTo x="5049" y="873"/>
                <wp:lineTo x="0" y="4800"/>
                <wp:lineTo x="0" y="12655"/>
                <wp:lineTo x="1122" y="15709"/>
                <wp:lineTo x="6171" y="20073"/>
                <wp:lineTo x="8416" y="20945"/>
                <wp:lineTo x="11782" y="20945"/>
                <wp:lineTo x="15709" y="18764"/>
                <wp:lineTo x="20197" y="15273"/>
                <wp:lineTo x="20758" y="12218"/>
                <wp:lineTo x="20758" y="4800"/>
                <wp:lineTo x="17392" y="2182"/>
                <wp:lineTo x="11782" y="0"/>
                <wp:lineTo x="8977"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7">
                      <a:extLst>
                        <a:ext uri="{28A0092B-C50C-407E-A947-70E740481C1C}">
                          <a14:useLocalDpi xmlns:a14="http://schemas.microsoft.com/office/drawing/2010/main" val="0"/>
                        </a:ext>
                      </a:extLst>
                    </a:blip>
                    <a:srcRect t="-238" r="90379" b="73499"/>
                    <a:stretch>
                      <a:fillRect/>
                    </a:stretch>
                  </pic:blipFill>
                  <pic:spPr bwMode="auto">
                    <a:xfrm>
                      <a:off x="0" y="0"/>
                      <a:ext cx="7334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BC2" w:rsidRPr="00DF7543" w:rsidRDefault="00515BC2" w:rsidP="00515BC2">
      <w:pPr>
        <w:jc w:val="both"/>
        <w:rPr>
          <w:rFonts w:ascii="Times New Roman" w:hAnsi="Times New Roman" w:cs="Times New Roman"/>
          <w:sz w:val="28"/>
          <w:szCs w:val="28"/>
          <w:lang w:val="uk-UA"/>
        </w:rPr>
      </w:pPr>
    </w:p>
    <w:p w:rsidR="00515BC2" w:rsidRPr="00DF7543" w:rsidRDefault="00515BC2" w:rsidP="00515BC2">
      <w:pPr>
        <w:jc w:val="both"/>
        <w:rPr>
          <w:rFonts w:ascii="Times New Roman" w:hAnsi="Times New Roman" w:cs="Times New Roman"/>
          <w:sz w:val="28"/>
          <w:szCs w:val="28"/>
          <w:lang w:val="uk-UA"/>
        </w:rPr>
      </w:pPr>
    </w:p>
    <w:p w:rsidR="00515BC2" w:rsidRPr="00DF7543" w:rsidRDefault="00515BC2" w:rsidP="00515BC2">
      <w:pPr>
        <w:jc w:val="both"/>
        <w:rPr>
          <w:rFonts w:ascii="Times New Roman" w:hAnsi="Times New Roman" w:cs="Times New Roman"/>
          <w:sz w:val="28"/>
          <w:szCs w:val="28"/>
          <w:lang w:val="uk-UA"/>
        </w:rPr>
      </w:pPr>
    </w:p>
    <w:p w:rsidR="00515BC2" w:rsidRPr="00DF7543" w:rsidRDefault="00515BC2" w:rsidP="00515BC2">
      <w:pPr>
        <w:jc w:val="both"/>
        <w:rPr>
          <w:rFonts w:ascii="Times New Roman" w:hAnsi="Times New Roman" w:cs="Times New Roman"/>
          <w:sz w:val="28"/>
          <w:szCs w:val="28"/>
          <w:lang w:val="uk-UA"/>
        </w:rPr>
      </w:pPr>
    </w:p>
    <w:p w:rsidR="00515BC2" w:rsidRPr="00DF7543" w:rsidRDefault="00515BC2" w:rsidP="00515BC2">
      <w:pPr>
        <w:jc w:val="center"/>
        <w:rPr>
          <w:rFonts w:ascii="Times New Roman" w:hAnsi="Times New Roman" w:cs="Times New Roman"/>
          <w:b/>
          <w:sz w:val="46"/>
          <w:szCs w:val="46"/>
          <w:lang w:val="uk-UA"/>
        </w:rPr>
      </w:pPr>
      <w:r w:rsidRPr="00DF7543">
        <w:rPr>
          <w:rFonts w:ascii="Times New Roman" w:hAnsi="Times New Roman" w:cs="Times New Roman"/>
          <w:b/>
          <w:sz w:val="46"/>
          <w:szCs w:val="46"/>
          <w:lang w:val="uk-UA"/>
        </w:rPr>
        <w:t>ПРОГРАМА</w:t>
      </w:r>
    </w:p>
    <w:p w:rsidR="00515BC2" w:rsidRPr="00DF7543" w:rsidRDefault="00515BC2" w:rsidP="00515BC2">
      <w:pPr>
        <w:jc w:val="center"/>
        <w:rPr>
          <w:rFonts w:ascii="Times New Roman" w:hAnsi="Times New Roman" w:cs="Times New Roman"/>
          <w:b/>
          <w:sz w:val="46"/>
          <w:szCs w:val="46"/>
          <w:lang w:val="uk-UA"/>
        </w:rPr>
      </w:pPr>
      <w:r w:rsidRPr="00DF7543">
        <w:rPr>
          <w:rFonts w:ascii="Times New Roman" w:hAnsi="Times New Roman" w:cs="Times New Roman"/>
          <w:b/>
          <w:sz w:val="46"/>
          <w:szCs w:val="46"/>
          <w:lang w:val="uk-UA"/>
        </w:rPr>
        <w:t>економічного та соціального розвитку</w:t>
      </w:r>
    </w:p>
    <w:p w:rsidR="00515BC2" w:rsidRPr="00DF7543" w:rsidRDefault="00515BC2" w:rsidP="00515BC2">
      <w:pPr>
        <w:jc w:val="center"/>
        <w:rPr>
          <w:rFonts w:ascii="Times New Roman" w:hAnsi="Times New Roman" w:cs="Times New Roman"/>
          <w:b/>
          <w:sz w:val="46"/>
          <w:szCs w:val="46"/>
          <w:lang w:val="uk-UA"/>
        </w:rPr>
      </w:pPr>
      <w:r w:rsidRPr="00DF7543">
        <w:rPr>
          <w:rFonts w:ascii="Times New Roman" w:hAnsi="Times New Roman" w:cs="Times New Roman"/>
          <w:b/>
          <w:sz w:val="46"/>
          <w:szCs w:val="46"/>
          <w:lang w:val="uk-UA"/>
        </w:rPr>
        <w:t>Рівненської області на 202</w:t>
      </w:r>
      <w:r w:rsidR="00DF7543">
        <w:rPr>
          <w:rFonts w:ascii="Times New Roman" w:hAnsi="Times New Roman" w:cs="Times New Roman"/>
          <w:b/>
          <w:sz w:val="46"/>
          <w:szCs w:val="46"/>
          <w:lang w:val="uk-UA"/>
        </w:rPr>
        <w:t>5</w:t>
      </w:r>
      <w:r w:rsidRPr="00DF7543">
        <w:rPr>
          <w:rFonts w:ascii="Times New Roman" w:hAnsi="Times New Roman" w:cs="Times New Roman"/>
          <w:b/>
          <w:sz w:val="46"/>
          <w:szCs w:val="46"/>
          <w:lang w:val="uk-UA"/>
        </w:rPr>
        <w:t xml:space="preserve"> рік</w:t>
      </w:r>
    </w:p>
    <w:p w:rsidR="00515BC2" w:rsidRDefault="00DF7543">
      <w:pP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val="uk-UA" w:eastAsia="uk-UA"/>
        </w:rPr>
        <w:drawing>
          <wp:anchor distT="0" distB="0" distL="114300" distR="114300" simplePos="0" relativeHeight="251660288" behindDoc="1" locked="0" layoutInCell="1" allowOverlap="1" wp14:editId="036715A6">
            <wp:simplePos x="0" y="0"/>
            <wp:positionH relativeFrom="column">
              <wp:posOffset>995155</wp:posOffset>
            </wp:positionH>
            <wp:positionV relativeFrom="paragraph">
              <wp:posOffset>11982</wp:posOffset>
            </wp:positionV>
            <wp:extent cx="4245997" cy="4784136"/>
            <wp:effectExtent l="0" t="0" r="2540" b="0"/>
            <wp:wrapTight wrapText="bothSides">
              <wp:wrapPolygon edited="0">
                <wp:start x="6106" y="0"/>
                <wp:lineTo x="5040" y="258"/>
                <wp:lineTo x="4846" y="516"/>
                <wp:lineTo x="4943" y="1634"/>
                <wp:lineTo x="5137" y="2752"/>
                <wp:lineTo x="4361" y="3354"/>
                <wp:lineTo x="4264" y="3612"/>
                <wp:lineTo x="4361" y="4903"/>
                <wp:lineTo x="4652" y="5505"/>
                <wp:lineTo x="5621" y="6795"/>
                <wp:lineTo x="6590" y="7139"/>
                <wp:lineTo x="7560" y="8257"/>
                <wp:lineTo x="7269" y="8945"/>
                <wp:lineTo x="7269" y="9547"/>
                <wp:lineTo x="7463" y="10923"/>
                <wp:lineTo x="6687" y="12127"/>
                <wp:lineTo x="2811" y="13504"/>
                <wp:lineTo x="582" y="14966"/>
                <wp:lineTo x="678" y="17890"/>
                <wp:lineTo x="1454" y="19266"/>
                <wp:lineTo x="1357" y="19438"/>
                <wp:lineTo x="1745" y="20384"/>
                <wp:lineTo x="2326" y="21072"/>
                <wp:lineTo x="2423" y="21244"/>
                <wp:lineTo x="2908" y="21244"/>
                <wp:lineTo x="15992" y="20814"/>
                <wp:lineTo x="15992" y="20556"/>
                <wp:lineTo x="14441" y="20126"/>
                <wp:lineTo x="9886" y="19266"/>
                <wp:lineTo x="15507" y="19180"/>
                <wp:lineTo x="15992" y="18148"/>
                <wp:lineTo x="15410" y="17890"/>
                <wp:lineTo x="15992" y="17546"/>
                <wp:lineTo x="15798" y="16944"/>
                <wp:lineTo x="13666" y="16514"/>
                <wp:lineTo x="14053" y="16514"/>
                <wp:lineTo x="17736" y="15138"/>
                <wp:lineTo x="18027" y="14278"/>
                <wp:lineTo x="17930" y="11009"/>
                <wp:lineTo x="18512" y="9633"/>
                <wp:lineTo x="19384" y="8257"/>
                <wp:lineTo x="19868" y="7311"/>
                <wp:lineTo x="19771" y="6881"/>
                <wp:lineTo x="20159" y="6881"/>
                <wp:lineTo x="20644" y="6021"/>
                <wp:lineTo x="20547" y="5505"/>
                <wp:lineTo x="20934" y="5505"/>
                <wp:lineTo x="21419" y="4645"/>
                <wp:lineTo x="21516" y="3784"/>
                <wp:lineTo x="19868" y="3268"/>
                <wp:lineTo x="17445" y="2752"/>
                <wp:lineTo x="17639" y="1806"/>
                <wp:lineTo x="15992" y="1462"/>
                <wp:lineTo x="11630" y="1376"/>
                <wp:lineTo x="11727" y="1032"/>
                <wp:lineTo x="10370" y="602"/>
                <wp:lineTo x="7366" y="0"/>
                <wp:lineTo x="6106" y="0"/>
              </wp:wrapPolygon>
            </wp:wrapTight>
            <wp:docPr id="3" name="Рисунок 3" descr="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карта.jpg"/>
                    <pic:cNvPicPr>
                      <a:picLocks noChangeAspect="1" noChangeArrowheads="1"/>
                    </pic:cNvPicPr>
                  </pic:nvPicPr>
                  <pic:blipFill>
                    <a:blip r:embed="rId8">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4246807" cy="47850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BC2" w:rsidRDefault="00515BC2">
      <w:pPr>
        <w:rPr>
          <w:rFonts w:ascii="Times New Roman" w:eastAsia="Times New Roman" w:hAnsi="Times New Roman" w:cs="Times New Roman"/>
          <w:b/>
          <w:sz w:val="28"/>
          <w:szCs w:val="28"/>
          <w:lang w:val="uk-UA"/>
        </w:rPr>
      </w:pPr>
    </w:p>
    <w:p w:rsidR="00515BC2" w:rsidRDefault="00515BC2">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515BC2" w:rsidRDefault="00515BC2">
      <w:pPr>
        <w:rPr>
          <w:rFonts w:ascii="Times New Roman" w:eastAsia="Times New Roman" w:hAnsi="Times New Roman" w:cs="Times New Roman"/>
          <w:b/>
          <w:sz w:val="28"/>
          <w:szCs w:val="28"/>
          <w:lang w:val="uk-UA"/>
        </w:rPr>
      </w:pPr>
    </w:p>
    <w:p w:rsidR="00515BC2" w:rsidRDefault="00515BC2">
      <w:pPr>
        <w:rPr>
          <w:rFonts w:ascii="Times New Roman" w:eastAsia="Times New Roman" w:hAnsi="Times New Roman" w:cs="Times New Roman"/>
          <w:b/>
          <w:sz w:val="28"/>
          <w:szCs w:val="28"/>
          <w:lang w:val="uk-UA"/>
        </w:rPr>
      </w:pPr>
    </w:p>
    <w:p w:rsidR="00DF7543" w:rsidRDefault="00DF7543">
      <w:pPr>
        <w:rPr>
          <w:rFonts w:ascii="Times New Roman" w:eastAsia="Times New Roman" w:hAnsi="Times New Roman" w:cs="Times New Roman"/>
          <w:b/>
          <w:sz w:val="28"/>
          <w:szCs w:val="28"/>
          <w:lang w:val="uk-UA"/>
        </w:rPr>
      </w:pPr>
    </w:p>
    <w:p w:rsidR="00515BC2" w:rsidRDefault="00515BC2">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06002A" w:rsidRDefault="00A81A79" w:rsidP="00207EEE">
      <w:pPr>
        <w:spacing w:before="60" w:after="120" w:line="240" w:lineRule="auto"/>
        <w:ind w:right="30"/>
        <w:jc w:val="center"/>
        <w:rPr>
          <w:rFonts w:ascii="Times New Roman" w:eastAsia="Times New Roman" w:hAnsi="Times New Roman" w:cs="Times New Roman"/>
          <w:b/>
          <w:sz w:val="28"/>
          <w:szCs w:val="28"/>
          <w:lang w:val="uk-UA"/>
        </w:rPr>
      </w:pPr>
      <w:r w:rsidRPr="00207EEE">
        <w:rPr>
          <w:rFonts w:ascii="Times New Roman" w:eastAsia="Times New Roman" w:hAnsi="Times New Roman" w:cs="Times New Roman"/>
          <w:b/>
          <w:sz w:val="28"/>
          <w:szCs w:val="28"/>
          <w:lang w:val="uk-UA"/>
        </w:rPr>
        <w:lastRenderedPageBreak/>
        <w:t>З М І С Т</w:t>
      </w: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51"/>
      </w:tblGrid>
      <w:tr w:rsidR="00207EEE" w:rsidTr="003578BC">
        <w:tc>
          <w:tcPr>
            <w:tcW w:w="8647" w:type="dxa"/>
          </w:tcPr>
          <w:p w:rsidR="00207EEE" w:rsidRDefault="0020100E" w:rsidP="00207EEE">
            <w:pPr>
              <w:spacing w:before="60" w:after="120"/>
              <w:jc w:val="both"/>
              <w:rPr>
                <w:rFonts w:ascii="Times New Roman" w:eastAsia="Times New Roman" w:hAnsi="Times New Roman" w:cs="Times New Roman"/>
                <w:b/>
                <w:sz w:val="28"/>
                <w:szCs w:val="28"/>
                <w:lang w:val="uk-UA"/>
              </w:rPr>
            </w:pPr>
            <w:r w:rsidRPr="002E02C4">
              <w:rPr>
                <w:rFonts w:ascii="Times New Roman" w:eastAsia="Times New Roman" w:hAnsi="Times New Roman" w:cs="Times New Roman"/>
                <w:b/>
                <w:sz w:val="28"/>
                <w:szCs w:val="28"/>
                <w:lang w:val="uk-UA"/>
              </w:rPr>
              <w:t>ВСТУП</w:t>
            </w:r>
          </w:p>
        </w:tc>
        <w:tc>
          <w:tcPr>
            <w:tcW w:w="851" w:type="dxa"/>
          </w:tcPr>
          <w:p w:rsidR="00207EEE" w:rsidRDefault="00207EEE" w:rsidP="00207EEE">
            <w:pPr>
              <w:spacing w:before="60" w:after="120"/>
              <w:jc w:val="both"/>
              <w:rPr>
                <w:rFonts w:ascii="Times New Roman" w:eastAsia="Times New Roman" w:hAnsi="Times New Roman" w:cs="Times New Roman"/>
                <w:b/>
                <w:sz w:val="28"/>
                <w:szCs w:val="28"/>
                <w:lang w:val="uk-UA"/>
              </w:rPr>
            </w:pPr>
          </w:p>
        </w:tc>
      </w:tr>
      <w:tr w:rsidR="002E02C4" w:rsidTr="003578BC">
        <w:tc>
          <w:tcPr>
            <w:tcW w:w="8647" w:type="dxa"/>
          </w:tcPr>
          <w:p w:rsidR="002E02C4" w:rsidRPr="002E02C4" w:rsidRDefault="002E02C4" w:rsidP="00EB025C">
            <w:pPr>
              <w:spacing w:before="60" w:after="120"/>
              <w:jc w:val="both"/>
              <w:rPr>
                <w:rFonts w:ascii="Times New Roman" w:eastAsia="Times New Roman" w:hAnsi="Times New Roman" w:cs="Times New Roman"/>
                <w:b/>
                <w:sz w:val="28"/>
                <w:szCs w:val="28"/>
                <w:lang w:val="uk-UA"/>
              </w:rPr>
            </w:pPr>
            <w:r w:rsidRPr="002E02C4">
              <w:rPr>
                <w:rFonts w:ascii="Times New Roman" w:eastAsia="Times New Roman" w:hAnsi="Times New Roman" w:cs="Times New Roman"/>
                <w:b/>
                <w:sz w:val="28"/>
                <w:szCs w:val="28"/>
                <w:lang w:val="uk-UA"/>
              </w:rPr>
              <w:t>Пріоритетні напрями, основні завдання і заходи щодо економічного та соціального розвитку області на 2025 рік</w:t>
            </w:r>
            <w:r w:rsidR="001E28AC">
              <w:rPr>
                <w:rFonts w:ascii="Times New Roman" w:eastAsia="Times New Roman" w:hAnsi="Times New Roman" w:cs="Times New Roman"/>
                <w:b/>
                <w:sz w:val="28"/>
                <w:szCs w:val="28"/>
                <w:lang w:val="uk-UA"/>
              </w:rPr>
              <w:t>:</w:t>
            </w:r>
          </w:p>
        </w:tc>
        <w:tc>
          <w:tcPr>
            <w:tcW w:w="851" w:type="dxa"/>
          </w:tcPr>
          <w:p w:rsidR="002E02C4" w:rsidRDefault="002E02C4" w:rsidP="00207EEE">
            <w:pPr>
              <w:spacing w:before="60" w:after="120"/>
              <w:jc w:val="both"/>
              <w:rPr>
                <w:rFonts w:ascii="Times New Roman" w:eastAsia="Times New Roman" w:hAnsi="Times New Roman" w:cs="Times New Roman"/>
                <w:b/>
                <w:sz w:val="28"/>
                <w:szCs w:val="28"/>
                <w:lang w:val="uk-UA"/>
              </w:rPr>
            </w:pPr>
          </w:p>
        </w:tc>
      </w:tr>
      <w:tr w:rsidR="00FE206B" w:rsidTr="003578BC">
        <w:tc>
          <w:tcPr>
            <w:tcW w:w="8647" w:type="dxa"/>
          </w:tcPr>
          <w:p w:rsidR="00FE206B" w:rsidRPr="002E02C4" w:rsidRDefault="00FE206B" w:rsidP="001E28AC">
            <w:pPr>
              <w:spacing w:before="60" w:after="120"/>
              <w:jc w:val="both"/>
              <w:rPr>
                <w:rFonts w:ascii="Times New Roman" w:eastAsia="Times New Roman" w:hAnsi="Times New Roman" w:cs="Times New Roman"/>
                <w:b/>
                <w:sz w:val="28"/>
                <w:szCs w:val="28"/>
                <w:lang w:val="uk-UA"/>
              </w:rPr>
            </w:pPr>
            <w:r w:rsidRPr="00FE206B">
              <w:rPr>
                <w:rFonts w:ascii="Times New Roman" w:eastAsia="Times New Roman" w:hAnsi="Times New Roman" w:cs="Times New Roman"/>
                <w:b/>
                <w:sz w:val="28"/>
                <w:szCs w:val="28"/>
                <w:lang w:val="uk-UA"/>
              </w:rPr>
              <w:t>1. Забезпечення стабільної роботи господарського комплексу області:</w:t>
            </w:r>
          </w:p>
        </w:tc>
        <w:tc>
          <w:tcPr>
            <w:tcW w:w="851" w:type="dxa"/>
          </w:tcPr>
          <w:p w:rsidR="00FE206B" w:rsidRDefault="00FE206B" w:rsidP="00207EEE">
            <w:pPr>
              <w:spacing w:before="60" w:after="120"/>
              <w:jc w:val="both"/>
              <w:rPr>
                <w:rFonts w:ascii="Times New Roman" w:eastAsia="Times New Roman" w:hAnsi="Times New Roman" w:cs="Times New Roman"/>
                <w:b/>
                <w:sz w:val="28"/>
                <w:szCs w:val="28"/>
                <w:lang w:val="uk-UA"/>
              </w:rPr>
            </w:pPr>
          </w:p>
        </w:tc>
      </w:tr>
      <w:tr w:rsidR="00FE206B" w:rsidTr="003578BC">
        <w:tc>
          <w:tcPr>
            <w:tcW w:w="8647" w:type="dxa"/>
          </w:tcPr>
          <w:p w:rsidR="00FE206B" w:rsidRPr="00387D06" w:rsidRDefault="00FE206B" w:rsidP="00FE206B">
            <w:pPr>
              <w:spacing w:before="60" w:after="120"/>
              <w:jc w:val="both"/>
              <w:rPr>
                <w:rFonts w:ascii="Times New Roman" w:eastAsia="Times New Roman" w:hAnsi="Times New Roman" w:cs="Times New Roman"/>
                <w:sz w:val="28"/>
                <w:szCs w:val="28"/>
                <w:lang w:val="uk-UA"/>
              </w:rPr>
            </w:pPr>
            <w:r w:rsidRPr="00387D06">
              <w:rPr>
                <w:rFonts w:ascii="Times New Roman" w:eastAsia="Times New Roman" w:hAnsi="Times New Roman" w:cs="Times New Roman"/>
                <w:sz w:val="28"/>
                <w:szCs w:val="28"/>
                <w:lang w:val="uk-UA"/>
              </w:rPr>
              <w:t>1.1. Промисловість</w:t>
            </w:r>
          </w:p>
        </w:tc>
        <w:tc>
          <w:tcPr>
            <w:tcW w:w="851" w:type="dxa"/>
          </w:tcPr>
          <w:p w:rsidR="00FE206B" w:rsidRDefault="00FE206B" w:rsidP="00207EEE">
            <w:pPr>
              <w:spacing w:before="60" w:after="120"/>
              <w:jc w:val="both"/>
              <w:rPr>
                <w:rFonts w:ascii="Times New Roman" w:eastAsia="Times New Roman" w:hAnsi="Times New Roman" w:cs="Times New Roman"/>
                <w:b/>
                <w:sz w:val="28"/>
                <w:szCs w:val="28"/>
                <w:lang w:val="uk-UA"/>
              </w:rPr>
            </w:pPr>
          </w:p>
        </w:tc>
      </w:tr>
      <w:tr w:rsidR="00FE206B" w:rsidTr="003578BC">
        <w:tc>
          <w:tcPr>
            <w:tcW w:w="8647" w:type="dxa"/>
          </w:tcPr>
          <w:p w:rsidR="00FE206B" w:rsidRPr="00387D06" w:rsidRDefault="00FE206B" w:rsidP="00EB025C">
            <w:pPr>
              <w:spacing w:before="60" w:after="120"/>
              <w:jc w:val="both"/>
              <w:rPr>
                <w:rFonts w:ascii="Times New Roman" w:eastAsia="Times New Roman" w:hAnsi="Times New Roman" w:cs="Times New Roman"/>
                <w:sz w:val="28"/>
                <w:szCs w:val="28"/>
                <w:lang w:val="uk-UA"/>
              </w:rPr>
            </w:pPr>
            <w:r w:rsidRPr="00387D06">
              <w:rPr>
                <w:rFonts w:ascii="Times New Roman" w:eastAsia="Times New Roman" w:hAnsi="Times New Roman" w:cs="Times New Roman"/>
                <w:sz w:val="28"/>
                <w:szCs w:val="28"/>
                <w:lang w:val="uk-UA"/>
              </w:rPr>
              <w:t>1.2. Агропромисловий комплекс</w:t>
            </w:r>
          </w:p>
        </w:tc>
        <w:tc>
          <w:tcPr>
            <w:tcW w:w="851" w:type="dxa"/>
          </w:tcPr>
          <w:p w:rsidR="00FE206B" w:rsidRDefault="00FE206B" w:rsidP="00207EEE">
            <w:pPr>
              <w:spacing w:before="60" w:after="120"/>
              <w:jc w:val="both"/>
              <w:rPr>
                <w:rFonts w:ascii="Times New Roman" w:eastAsia="Times New Roman" w:hAnsi="Times New Roman" w:cs="Times New Roman"/>
                <w:b/>
                <w:sz w:val="28"/>
                <w:szCs w:val="28"/>
                <w:lang w:val="uk-UA"/>
              </w:rPr>
            </w:pPr>
          </w:p>
        </w:tc>
      </w:tr>
      <w:tr w:rsidR="00387D06" w:rsidTr="003578BC">
        <w:tc>
          <w:tcPr>
            <w:tcW w:w="8647" w:type="dxa"/>
          </w:tcPr>
          <w:p w:rsidR="00387D06" w:rsidRPr="00387D06" w:rsidRDefault="00387D06" w:rsidP="00EB025C">
            <w:pPr>
              <w:spacing w:before="60" w:after="120"/>
              <w:jc w:val="both"/>
              <w:rPr>
                <w:rFonts w:ascii="Times New Roman" w:eastAsia="Times New Roman" w:hAnsi="Times New Roman" w:cs="Times New Roman"/>
                <w:sz w:val="28"/>
                <w:szCs w:val="28"/>
                <w:lang w:val="uk-UA"/>
              </w:rPr>
            </w:pPr>
            <w:r w:rsidRPr="00387D06">
              <w:rPr>
                <w:rFonts w:ascii="Times New Roman" w:eastAsia="Times New Roman" w:hAnsi="Times New Roman" w:cs="Times New Roman"/>
                <w:sz w:val="28"/>
                <w:szCs w:val="28"/>
                <w:lang w:val="uk-UA"/>
              </w:rPr>
              <w:t>1.3. Розвиток бізнесу, сприяння зайнятості населення, створення нових робочих місць</w:t>
            </w:r>
          </w:p>
        </w:tc>
        <w:tc>
          <w:tcPr>
            <w:tcW w:w="851" w:type="dxa"/>
          </w:tcPr>
          <w:p w:rsidR="00387D06" w:rsidRDefault="00387D0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387D06" w:rsidRDefault="00833316" w:rsidP="00EB025C">
            <w:pPr>
              <w:spacing w:before="60" w:after="120"/>
              <w:jc w:val="both"/>
              <w:rPr>
                <w:rFonts w:ascii="Times New Roman" w:eastAsia="Times New Roman" w:hAnsi="Times New Roman" w:cs="Times New Roman"/>
                <w:sz w:val="28"/>
                <w:szCs w:val="28"/>
                <w:lang w:val="uk-UA"/>
              </w:rPr>
            </w:pPr>
            <w:r w:rsidRPr="00833316">
              <w:rPr>
                <w:rFonts w:ascii="Times New Roman" w:eastAsia="Times New Roman" w:hAnsi="Times New Roman" w:cs="Times New Roman"/>
                <w:sz w:val="28"/>
                <w:szCs w:val="28"/>
                <w:lang w:val="uk-UA"/>
              </w:rPr>
              <w:t>1.4. Сприяння активізації інвестиційної діяльності в області</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FE206B" w:rsidTr="003578BC">
        <w:tc>
          <w:tcPr>
            <w:tcW w:w="8647" w:type="dxa"/>
          </w:tcPr>
          <w:p w:rsidR="00FE206B" w:rsidRPr="00FE206B" w:rsidRDefault="00833316" w:rsidP="00833316">
            <w:pPr>
              <w:spacing w:before="60" w:after="120"/>
              <w:jc w:val="both"/>
              <w:rPr>
                <w:rFonts w:ascii="Times New Roman" w:eastAsia="Times New Roman" w:hAnsi="Times New Roman" w:cs="Times New Roman"/>
                <w:b/>
                <w:sz w:val="28"/>
                <w:szCs w:val="28"/>
                <w:lang w:val="uk-UA"/>
              </w:rPr>
            </w:pPr>
            <w:r w:rsidRPr="00833316">
              <w:rPr>
                <w:rFonts w:ascii="Times New Roman" w:eastAsia="Times New Roman" w:hAnsi="Times New Roman" w:cs="Times New Roman"/>
                <w:b/>
                <w:sz w:val="28"/>
                <w:szCs w:val="28"/>
                <w:lang w:val="uk-UA"/>
              </w:rPr>
              <w:t>2. Забезпечення ефективного функціонування та розвитку інфраструктури області:</w:t>
            </w:r>
          </w:p>
        </w:tc>
        <w:tc>
          <w:tcPr>
            <w:tcW w:w="851" w:type="dxa"/>
          </w:tcPr>
          <w:p w:rsidR="00FE206B" w:rsidRDefault="00FE206B"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sz w:val="28"/>
                <w:szCs w:val="28"/>
                <w:lang w:val="uk-UA"/>
              </w:rPr>
            </w:pPr>
            <w:r w:rsidRPr="00833316">
              <w:rPr>
                <w:rFonts w:ascii="Times New Roman" w:eastAsia="Times New Roman" w:hAnsi="Times New Roman" w:cs="Times New Roman"/>
                <w:sz w:val="28"/>
                <w:szCs w:val="28"/>
                <w:lang w:val="uk-UA"/>
              </w:rPr>
              <w:t>2.1. Енергетика, житлово-комунальне господарство, захист довкілля</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sz w:val="28"/>
                <w:szCs w:val="28"/>
                <w:lang w:val="uk-UA"/>
              </w:rPr>
            </w:pPr>
            <w:r w:rsidRPr="00833316">
              <w:rPr>
                <w:rFonts w:ascii="Times New Roman" w:eastAsia="Times New Roman" w:hAnsi="Times New Roman" w:cs="Times New Roman"/>
                <w:sz w:val="28"/>
                <w:szCs w:val="28"/>
                <w:lang w:val="uk-UA"/>
              </w:rPr>
              <w:t>2.2. Транспорт, логістика, зв'язок</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sz w:val="28"/>
                <w:szCs w:val="28"/>
                <w:lang w:val="uk-UA"/>
              </w:rPr>
            </w:pPr>
            <w:r w:rsidRPr="00833316">
              <w:rPr>
                <w:rFonts w:ascii="Times New Roman" w:eastAsia="Times New Roman" w:hAnsi="Times New Roman" w:cs="Times New Roman"/>
                <w:sz w:val="28"/>
                <w:szCs w:val="28"/>
                <w:lang w:val="uk-UA"/>
              </w:rPr>
              <w:t xml:space="preserve">2.3. </w:t>
            </w:r>
            <w:proofErr w:type="spellStart"/>
            <w:r w:rsidRPr="00833316">
              <w:rPr>
                <w:rFonts w:ascii="Times New Roman" w:eastAsia="Times New Roman" w:hAnsi="Times New Roman" w:cs="Times New Roman"/>
                <w:sz w:val="28"/>
                <w:szCs w:val="28"/>
                <w:lang w:val="uk-UA"/>
              </w:rPr>
              <w:t>Цифровізація</w:t>
            </w:r>
            <w:proofErr w:type="spellEnd"/>
            <w:r w:rsidRPr="00833316">
              <w:rPr>
                <w:rFonts w:ascii="Times New Roman" w:eastAsia="Times New Roman" w:hAnsi="Times New Roman" w:cs="Times New Roman"/>
                <w:sz w:val="28"/>
                <w:szCs w:val="28"/>
                <w:lang w:val="uk-UA"/>
              </w:rPr>
              <w:t>, ІТ-сектор</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b/>
                <w:sz w:val="28"/>
                <w:szCs w:val="28"/>
                <w:lang w:val="uk-UA"/>
              </w:rPr>
            </w:pPr>
            <w:r w:rsidRPr="00833316">
              <w:rPr>
                <w:rFonts w:ascii="Times New Roman" w:eastAsia="Times New Roman" w:hAnsi="Times New Roman" w:cs="Times New Roman"/>
                <w:b/>
                <w:sz w:val="28"/>
                <w:szCs w:val="28"/>
                <w:lang w:val="uk-UA"/>
              </w:rPr>
              <w:t>3. Зміцнення обороноздатності держави та регіону</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b/>
                <w:sz w:val="28"/>
                <w:szCs w:val="28"/>
                <w:lang w:val="uk-UA"/>
              </w:rPr>
            </w:pPr>
            <w:r w:rsidRPr="00833316">
              <w:rPr>
                <w:rFonts w:ascii="Times New Roman" w:eastAsia="Times New Roman" w:hAnsi="Times New Roman" w:cs="Times New Roman"/>
                <w:b/>
                <w:sz w:val="28"/>
                <w:szCs w:val="28"/>
                <w:lang w:val="uk-UA"/>
              </w:rPr>
              <w:t>4. Забезпечення стабільної роботи соціальної сфери:</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sz w:val="28"/>
                <w:szCs w:val="28"/>
                <w:lang w:val="uk-UA"/>
              </w:rPr>
            </w:pPr>
            <w:r w:rsidRPr="00833316">
              <w:rPr>
                <w:rFonts w:ascii="Times New Roman" w:eastAsia="Times New Roman" w:hAnsi="Times New Roman" w:cs="Times New Roman"/>
                <w:sz w:val="28"/>
                <w:szCs w:val="28"/>
                <w:lang w:val="uk-UA"/>
              </w:rPr>
              <w:t>4.1. Освіта</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833316" w:rsidP="00833316">
            <w:pPr>
              <w:spacing w:before="60" w:after="120"/>
              <w:jc w:val="both"/>
              <w:rPr>
                <w:rFonts w:ascii="Times New Roman" w:eastAsia="Times New Roman" w:hAnsi="Times New Roman" w:cs="Times New Roman"/>
                <w:sz w:val="28"/>
                <w:szCs w:val="28"/>
                <w:lang w:val="uk-UA"/>
              </w:rPr>
            </w:pPr>
            <w:r w:rsidRPr="00833316">
              <w:rPr>
                <w:rFonts w:ascii="Times New Roman" w:eastAsia="Times New Roman" w:hAnsi="Times New Roman" w:cs="Times New Roman"/>
                <w:sz w:val="28"/>
                <w:szCs w:val="28"/>
                <w:lang w:val="uk-UA"/>
              </w:rPr>
              <w:t>4.2. Охорона здоров’я</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833316" w:rsidTr="003578BC">
        <w:tc>
          <w:tcPr>
            <w:tcW w:w="8647" w:type="dxa"/>
          </w:tcPr>
          <w:p w:rsidR="00833316" w:rsidRPr="00833316" w:rsidRDefault="003578BC" w:rsidP="00833316">
            <w:pPr>
              <w:spacing w:before="60" w:after="120"/>
              <w:jc w:val="both"/>
              <w:rPr>
                <w:rFonts w:ascii="Times New Roman" w:eastAsia="Times New Roman" w:hAnsi="Times New Roman" w:cs="Times New Roman"/>
                <w:sz w:val="28"/>
                <w:szCs w:val="28"/>
                <w:lang w:val="uk-UA"/>
              </w:rPr>
            </w:pPr>
            <w:r w:rsidRPr="003578BC">
              <w:rPr>
                <w:rFonts w:ascii="Times New Roman" w:eastAsia="Times New Roman" w:hAnsi="Times New Roman" w:cs="Times New Roman"/>
                <w:sz w:val="28"/>
                <w:szCs w:val="28"/>
                <w:lang w:val="uk-UA"/>
              </w:rPr>
              <w:t>4.3. Соціальний захист населення, ветеранська політика</w:t>
            </w:r>
          </w:p>
        </w:tc>
        <w:tc>
          <w:tcPr>
            <w:tcW w:w="851" w:type="dxa"/>
          </w:tcPr>
          <w:p w:rsidR="00833316" w:rsidRDefault="00833316" w:rsidP="00207EEE">
            <w:pPr>
              <w:spacing w:before="60" w:after="120"/>
              <w:jc w:val="both"/>
              <w:rPr>
                <w:rFonts w:ascii="Times New Roman" w:eastAsia="Times New Roman" w:hAnsi="Times New Roman" w:cs="Times New Roman"/>
                <w:b/>
                <w:sz w:val="28"/>
                <w:szCs w:val="28"/>
                <w:lang w:val="uk-UA"/>
              </w:rPr>
            </w:pPr>
          </w:p>
        </w:tc>
      </w:tr>
      <w:tr w:rsidR="003578BC" w:rsidTr="003578BC">
        <w:tc>
          <w:tcPr>
            <w:tcW w:w="8647" w:type="dxa"/>
          </w:tcPr>
          <w:p w:rsidR="003578BC" w:rsidRPr="003578BC" w:rsidRDefault="003578BC" w:rsidP="00833316">
            <w:pPr>
              <w:spacing w:before="60" w:after="120"/>
              <w:jc w:val="both"/>
              <w:rPr>
                <w:rFonts w:ascii="Times New Roman" w:eastAsia="Times New Roman" w:hAnsi="Times New Roman" w:cs="Times New Roman"/>
                <w:sz w:val="28"/>
                <w:szCs w:val="28"/>
                <w:lang w:val="uk-UA"/>
              </w:rPr>
            </w:pPr>
            <w:r w:rsidRPr="003578BC">
              <w:rPr>
                <w:rFonts w:ascii="Times New Roman" w:eastAsia="Times New Roman" w:hAnsi="Times New Roman" w:cs="Times New Roman"/>
                <w:sz w:val="28"/>
                <w:szCs w:val="28"/>
                <w:lang w:val="uk-UA"/>
              </w:rPr>
              <w:t>4.4. Культура, фізична культура та спорт</w:t>
            </w:r>
          </w:p>
        </w:tc>
        <w:tc>
          <w:tcPr>
            <w:tcW w:w="851" w:type="dxa"/>
          </w:tcPr>
          <w:p w:rsidR="003578BC" w:rsidRDefault="003578BC" w:rsidP="00207EEE">
            <w:pPr>
              <w:spacing w:before="60" w:after="120"/>
              <w:jc w:val="both"/>
              <w:rPr>
                <w:rFonts w:ascii="Times New Roman" w:eastAsia="Times New Roman" w:hAnsi="Times New Roman" w:cs="Times New Roman"/>
                <w:b/>
                <w:sz w:val="28"/>
                <w:szCs w:val="28"/>
                <w:lang w:val="uk-UA"/>
              </w:rPr>
            </w:pPr>
          </w:p>
        </w:tc>
      </w:tr>
      <w:tr w:rsidR="003578BC" w:rsidTr="003578BC">
        <w:tc>
          <w:tcPr>
            <w:tcW w:w="8647" w:type="dxa"/>
          </w:tcPr>
          <w:p w:rsidR="003578BC" w:rsidRPr="003578BC" w:rsidRDefault="003578BC" w:rsidP="00833316">
            <w:pPr>
              <w:spacing w:before="60" w:after="120"/>
              <w:jc w:val="both"/>
              <w:rPr>
                <w:rFonts w:ascii="Times New Roman" w:eastAsia="Times New Roman" w:hAnsi="Times New Roman" w:cs="Times New Roman"/>
                <w:b/>
                <w:sz w:val="28"/>
                <w:szCs w:val="28"/>
                <w:lang w:val="uk-UA"/>
              </w:rPr>
            </w:pPr>
            <w:r w:rsidRPr="003578BC">
              <w:rPr>
                <w:rFonts w:ascii="Times New Roman" w:eastAsia="Times New Roman" w:hAnsi="Times New Roman" w:cs="Times New Roman"/>
                <w:b/>
                <w:sz w:val="28"/>
                <w:szCs w:val="28"/>
                <w:lang w:val="uk-UA"/>
              </w:rPr>
              <w:t>5. Сприяння розвитку територіальних громад області та підвищення рівня їх фінансової спроможності</w:t>
            </w:r>
          </w:p>
        </w:tc>
        <w:tc>
          <w:tcPr>
            <w:tcW w:w="851" w:type="dxa"/>
          </w:tcPr>
          <w:p w:rsidR="003578BC" w:rsidRDefault="003578BC" w:rsidP="00207EEE">
            <w:pPr>
              <w:spacing w:before="60" w:after="120"/>
              <w:jc w:val="both"/>
              <w:rPr>
                <w:rFonts w:ascii="Times New Roman" w:eastAsia="Times New Roman" w:hAnsi="Times New Roman" w:cs="Times New Roman"/>
                <w:b/>
                <w:sz w:val="28"/>
                <w:szCs w:val="28"/>
                <w:lang w:val="uk-UA"/>
              </w:rPr>
            </w:pPr>
          </w:p>
        </w:tc>
      </w:tr>
      <w:tr w:rsidR="00207EEE" w:rsidTr="003578BC">
        <w:tc>
          <w:tcPr>
            <w:tcW w:w="8647" w:type="dxa"/>
          </w:tcPr>
          <w:p w:rsidR="00207EEE" w:rsidRDefault="00207EEE" w:rsidP="00EB025C">
            <w:pPr>
              <w:spacing w:before="60" w:after="120"/>
              <w:ind w:right="27"/>
              <w:jc w:val="both"/>
              <w:rPr>
                <w:rFonts w:ascii="Times New Roman" w:eastAsia="Times New Roman" w:hAnsi="Times New Roman" w:cs="Times New Roman"/>
                <w:b/>
                <w:sz w:val="28"/>
                <w:szCs w:val="28"/>
                <w:lang w:val="uk-UA"/>
              </w:rPr>
            </w:pPr>
            <w:r w:rsidRPr="002E02C4">
              <w:rPr>
                <w:rFonts w:ascii="Times New Roman" w:eastAsia="Times New Roman" w:hAnsi="Times New Roman" w:cs="Times New Roman"/>
                <w:b/>
                <w:sz w:val="28"/>
                <w:szCs w:val="28"/>
                <w:lang w:val="uk-UA"/>
              </w:rPr>
              <w:t>Додаток 1.</w:t>
            </w:r>
            <w:r w:rsidRPr="00207EEE">
              <w:rPr>
                <w:rFonts w:ascii="Times New Roman" w:eastAsia="Times New Roman" w:hAnsi="Times New Roman" w:cs="Times New Roman"/>
                <w:i/>
                <w:sz w:val="28"/>
                <w:szCs w:val="28"/>
                <w:lang w:val="uk-UA"/>
              </w:rPr>
              <w:t xml:space="preserve"> </w:t>
            </w:r>
            <w:r w:rsidRPr="00207EEE">
              <w:rPr>
                <w:rFonts w:ascii="Times New Roman" w:eastAsia="Times New Roman" w:hAnsi="Times New Roman" w:cs="Times New Roman"/>
                <w:sz w:val="28"/>
                <w:szCs w:val="28"/>
                <w:lang w:val="uk-UA"/>
              </w:rPr>
              <w:t>Загальноекономічні показники</w:t>
            </w:r>
          </w:p>
        </w:tc>
        <w:tc>
          <w:tcPr>
            <w:tcW w:w="851" w:type="dxa"/>
          </w:tcPr>
          <w:p w:rsidR="00207EEE" w:rsidRDefault="00207EEE" w:rsidP="00207EEE">
            <w:pPr>
              <w:spacing w:before="60" w:after="120"/>
              <w:jc w:val="both"/>
              <w:rPr>
                <w:rFonts w:ascii="Times New Roman" w:eastAsia="Times New Roman" w:hAnsi="Times New Roman" w:cs="Times New Roman"/>
                <w:b/>
                <w:sz w:val="28"/>
                <w:szCs w:val="28"/>
                <w:lang w:val="uk-UA"/>
              </w:rPr>
            </w:pPr>
          </w:p>
        </w:tc>
      </w:tr>
      <w:tr w:rsidR="00207EEE" w:rsidTr="003578BC">
        <w:tc>
          <w:tcPr>
            <w:tcW w:w="8647" w:type="dxa"/>
          </w:tcPr>
          <w:p w:rsidR="00207EEE" w:rsidRDefault="00207EEE" w:rsidP="00EB025C">
            <w:pPr>
              <w:spacing w:before="60" w:after="120"/>
              <w:ind w:right="27"/>
              <w:jc w:val="both"/>
              <w:rPr>
                <w:rFonts w:ascii="Times New Roman" w:eastAsia="Times New Roman" w:hAnsi="Times New Roman" w:cs="Times New Roman"/>
                <w:b/>
                <w:sz w:val="28"/>
                <w:szCs w:val="28"/>
                <w:lang w:val="uk-UA"/>
              </w:rPr>
            </w:pPr>
            <w:r w:rsidRPr="002E02C4">
              <w:rPr>
                <w:rFonts w:ascii="Times New Roman" w:eastAsia="Times New Roman" w:hAnsi="Times New Roman" w:cs="Times New Roman"/>
                <w:b/>
                <w:sz w:val="28"/>
                <w:szCs w:val="28"/>
                <w:lang w:val="uk-UA"/>
              </w:rPr>
              <w:t>Додаток</w:t>
            </w:r>
            <w:r w:rsidR="00EB025C">
              <w:rPr>
                <w:rFonts w:ascii="Times New Roman" w:eastAsia="Times New Roman" w:hAnsi="Times New Roman" w:cs="Times New Roman"/>
                <w:b/>
                <w:sz w:val="28"/>
                <w:szCs w:val="28"/>
                <w:lang w:val="uk-UA"/>
              </w:rPr>
              <w:t> </w:t>
            </w:r>
            <w:r w:rsidRPr="002E02C4">
              <w:rPr>
                <w:rFonts w:ascii="Times New Roman" w:eastAsia="Times New Roman" w:hAnsi="Times New Roman" w:cs="Times New Roman"/>
                <w:b/>
                <w:sz w:val="28"/>
                <w:szCs w:val="28"/>
                <w:lang w:val="uk-UA"/>
              </w:rPr>
              <w:t>2.</w:t>
            </w:r>
            <w:r w:rsidR="00EB025C">
              <w:rPr>
                <w:lang w:val="uk-UA"/>
              </w:rPr>
              <w:t xml:space="preserve"> </w:t>
            </w:r>
            <w:r w:rsidRPr="00207EEE">
              <w:rPr>
                <w:rFonts w:ascii="Times New Roman" w:eastAsia="Times New Roman" w:hAnsi="Times New Roman" w:cs="Times New Roman"/>
                <w:sz w:val="28"/>
                <w:szCs w:val="28"/>
                <w:lang w:val="uk-UA"/>
              </w:rPr>
              <w:t xml:space="preserve">Перелік інвестиційних </w:t>
            </w:r>
            <w:proofErr w:type="spellStart"/>
            <w:r w:rsidRPr="00207EEE">
              <w:rPr>
                <w:rFonts w:ascii="Times New Roman" w:eastAsia="Times New Roman" w:hAnsi="Times New Roman" w:cs="Times New Roman"/>
                <w:sz w:val="28"/>
                <w:szCs w:val="28"/>
                <w:lang w:val="uk-UA"/>
              </w:rPr>
              <w:t>проєктів</w:t>
            </w:r>
            <w:proofErr w:type="spellEnd"/>
            <w:r w:rsidRPr="00207EEE">
              <w:rPr>
                <w:rFonts w:ascii="Times New Roman" w:eastAsia="Times New Roman" w:hAnsi="Times New Roman" w:cs="Times New Roman"/>
                <w:sz w:val="28"/>
                <w:szCs w:val="28"/>
                <w:lang w:val="uk-UA"/>
              </w:rPr>
              <w:t xml:space="preserve"> та програм регіонального розвитку, реалізація яких потребує залучення бюджетних коштів</w:t>
            </w:r>
          </w:p>
        </w:tc>
        <w:tc>
          <w:tcPr>
            <w:tcW w:w="851" w:type="dxa"/>
          </w:tcPr>
          <w:p w:rsidR="00207EEE" w:rsidRDefault="00207EEE" w:rsidP="00207EEE">
            <w:pPr>
              <w:spacing w:before="60" w:after="120"/>
              <w:jc w:val="both"/>
              <w:rPr>
                <w:rFonts w:ascii="Times New Roman" w:eastAsia="Times New Roman" w:hAnsi="Times New Roman" w:cs="Times New Roman"/>
                <w:b/>
                <w:sz w:val="28"/>
                <w:szCs w:val="28"/>
                <w:lang w:val="uk-UA"/>
              </w:rPr>
            </w:pPr>
          </w:p>
        </w:tc>
      </w:tr>
      <w:tr w:rsidR="00207EEE" w:rsidTr="003578BC">
        <w:tc>
          <w:tcPr>
            <w:tcW w:w="8647" w:type="dxa"/>
          </w:tcPr>
          <w:p w:rsidR="00207EEE" w:rsidRDefault="00207EEE" w:rsidP="00EB025C">
            <w:pPr>
              <w:spacing w:before="60" w:after="120"/>
              <w:ind w:right="27"/>
              <w:jc w:val="both"/>
              <w:rPr>
                <w:rFonts w:ascii="Times New Roman" w:eastAsia="Times New Roman" w:hAnsi="Times New Roman" w:cs="Times New Roman"/>
                <w:b/>
                <w:sz w:val="28"/>
                <w:szCs w:val="28"/>
                <w:lang w:val="uk-UA"/>
              </w:rPr>
            </w:pPr>
            <w:r w:rsidRPr="00EB025C">
              <w:rPr>
                <w:rFonts w:ascii="Times New Roman" w:hAnsi="Times New Roman" w:cs="Times New Roman"/>
                <w:b/>
                <w:sz w:val="28"/>
                <w:szCs w:val="28"/>
                <w:lang w:val="uk-UA"/>
              </w:rPr>
              <w:t>Додаток</w:t>
            </w:r>
            <w:r w:rsidR="00EB025C">
              <w:rPr>
                <w:rFonts w:ascii="Times New Roman" w:hAnsi="Times New Roman" w:cs="Times New Roman"/>
                <w:b/>
                <w:sz w:val="28"/>
                <w:szCs w:val="28"/>
                <w:lang w:val="uk-UA"/>
              </w:rPr>
              <w:t> </w:t>
            </w:r>
            <w:r w:rsidRPr="00EB025C">
              <w:rPr>
                <w:rFonts w:ascii="Times New Roman" w:hAnsi="Times New Roman" w:cs="Times New Roman"/>
                <w:b/>
                <w:sz w:val="28"/>
                <w:szCs w:val="28"/>
                <w:lang w:val="uk-UA"/>
              </w:rPr>
              <w:t>3</w:t>
            </w:r>
            <w:r w:rsidRPr="00EB025C">
              <w:rPr>
                <w:rFonts w:ascii="Times New Roman" w:eastAsia="Times New Roman" w:hAnsi="Times New Roman" w:cs="Times New Roman"/>
                <w:b/>
                <w:sz w:val="28"/>
                <w:szCs w:val="28"/>
                <w:lang w:val="uk-UA"/>
              </w:rPr>
              <w:t xml:space="preserve">. </w:t>
            </w:r>
            <w:r w:rsidRPr="00207EEE">
              <w:rPr>
                <w:rFonts w:ascii="Times New Roman" w:eastAsia="Times New Roman" w:hAnsi="Times New Roman" w:cs="Times New Roman"/>
                <w:sz w:val="28"/>
                <w:szCs w:val="28"/>
                <w:lang w:val="uk-UA"/>
              </w:rPr>
              <w:t>Перелік діючих обласних галузевих програм,</w:t>
            </w:r>
            <w:r w:rsidRPr="00207EEE">
              <w:rPr>
                <w:rFonts w:ascii="Times New Roman" w:eastAsia="Times New Roman" w:hAnsi="Times New Roman" w:cs="Times New Roman"/>
                <w:sz w:val="24"/>
                <w:szCs w:val="24"/>
                <w:lang w:val="uk-UA"/>
              </w:rPr>
              <w:t xml:space="preserve"> </w:t>
            </w:r>
            <w:r w:rsidRPr="00207EEE">
              <w:rPr>
                <w:rFonts w:ascii="Times New Roman" w:eastAsia="Times New Roman" w:hAnsi="Times New Roman" w:cs="Times New Roman"/>
                <w:sz w:val="28"/>
                <w:szCs w:val="28"/>
                <w:lang w:val="uk-UA"/>
              </w:rPr>
              <w:t>реалізація яких передбачена у 2025 році</w:t>
            </w:r>
          </w:p>
        </w:tc>
        <w:tc>
          <w:tcPr>
            <w:tcW w:w="851" w:type="dxa"/>
          </w:tcPr>
          <w:p w:rsidR="00207EEE" w:rsidRDefault="00207EEE" w:rsidP="00207EEE">
            <w:pPr>
              <w:spacing w:before="60" w:after="120"/>
              <w:jc w:val="both"/>
              <w:rPr>
                <w:rFonts w:ascii="Times New Roman" w:eastAsia="Times New Roman" w:hAnsi="Times New Roman" w:cs="Times New Roman"/>
                <w:b/>
                <w:sz w:val="28"/>
                <w:szCs w:val="28"/>
                <w:lang w:val="uk-UA"/>
              </w:rPr>
            </w:pPr>
          </w:p>
        </w:tc>
      </w:tr>
    </w:tbl>
    <w:p w:rsidR="0006002A" w:rsidRPr="00207EEE"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207EEE">
        <w:rPr>
          <w:lang w:val="uk-UA"/>
        </w:rPr>
        <w:br w:type="page"/>
      </w:r>
    </w:p>
    <w:p w:rsidR="0006002A" w:rsidRPr="005F5D43" w:rsidRDefault="00A81A79" w:rsidP="002E02C4">
      <w:pPr>
        <w:spacing w:before="60" w:after="120" w:line="240" w:lineRule="auto"/>
        <w:ind w:right="30"/>
        <w:jc w:val="center"/>
        <w:rPr>
          <w:rFonts w:ascii="Times New Roman" w:eastAsia="Times New Roman" w:hAnsi="Times New Roman" w:cs="Times New Roman"/>
          <w:b/>
          <w:sz w:val="28"/>
          <w:szCs w:val="28"/>
          <w:lang w:val="uk-UA"/>
        </w:rPr>
      </w:pPr>
      <w:r w:rsidRPr="005F5D43">
        <w:rPr>
          <w:rFonts w:ascii="Times New Roman" w:eastAsia="Times New Roman" w:hAnsi="Times New Roman" w:cs="Times New Roman"/>
          <w:b/>
          <w:sz w:val="28"/>
          <w:szCs w:val="28"/>
          <w:lang w:val="uk-UA"/>
        </w:rPr>
        <w:lastRenderedPageBreak/>
        <w:t>ВСТУП</w:t>
      </w:r>
    </w:p>
    <w:p w:rsidR="002E02C4" w:rsidRPr="005F5D43" w:rsidRDefault="002E02C4" w:rsidP="002E02C4">
      <w:pPr>
        <w:spacing w:before="60" w:after="120" w:line="240" w:lineRule="auto"/>
        <w:ind w:right="30"/>
        <w:jc w:val="center"/>
        <w:rPr>
          <w:rFonts w:ascii="Times New Roman" w:eastAsia="Times New Roman" w:hAnsi="Times New Roman" w:cs="Times New Roman"/>
          <w:b/>
          <w:sz w:val="10"/>
          <w:szCs w:val="10"/>
          <w:lang w:val="uk-UA"/>
        </w:rPr>
      </w:pP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Програма економічного та соціального розвитку Рівненської області на 2025 рік (далі – Програма – 2025) розроблена відповідно до:</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Законів України «Про правовий режим воєнного стану», «Про місцеві державні адміністрації», «Про державне прогнозування та розроблення програм економічного і соціального розвитку України», «Про засади державної регі</w:t>
      </w:r>
      <w:r w:rsidR="00D82CEE" w:rsidRPr="005F5D43">
        <w:rPr>
          <w:rFonts w:ascii="Times New Roman" w:eastAsia="Times New Roman" w:hAnsi="Times New Roman" w:cs="Times New Roman"/>
          <w:sz w:val="28"/>
          <w:szCs w:val="28"/>
          <w:lang w:val="uk-UA"/>
        </w:rPr>
        <w:t>ональної політики» (зі змінами)</w:t>
      </w:r>
      <w:r w:rsidRPr="005F5D43">
        <w:rPr>
          <w:rFonts w:ascii="Times New Roman" w:eastAsia="Times New Roman" w:hAnsi="Times New Roman" w:cs="Times New Roman"/>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Указів Президента України від 24 лютого 2022 року № 64/2022 </w:t>
      </w:r>
      <w:r w:rsidR="00207EEE" w:rsidRPr="005F5D43">
        <w:rPr>
          <w:rFonts w:ascii="Times New Roman" w:eastAsia="Times New Roman" w:hAnsi="Times New Roman" w:cs="Times New Roman"/>
          <w:sz w:val="28"/>
          <w:szCs w:val="28"/>
          <w:lang w:val="uk-UA"/>
        </w:rPr>
        <w:br/>
      </w:r>
      <w:r w:rsidRPr="005F5D43">
        <w:rPr>
          <w:rFonts w:ascii="Times New Roman" w:eastAsia="Times New Roman" w:hAnsi="Times New Roman" w:cs="Times New Roman"/>
          <w:sz w:val="28"/>
          <w:szCs w:val="28"/>
          <w:lang w:val="uk-UA"/>
        </w:rPr>
        <w:t>«Про введення воєнного стану в Україні» (зі змінами) та від 24 лютого  2022 року № 68/2022 «Про утворення військових адміністрацій»;</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Бюджетної декларації та державного бюджету» (зі змінами).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У Програмі – 202</w:t>
      </w:r>
      <w:r w:rsidR="00845ECB" w:rsidRPr="005F5D43">
        <w:rPr>
          <w:rFonts w:ascii="Times New Roman" w:eastAsia="Times New Roman" w:hAnsi="Times New Roman" w:cs="Times New Roman"/>
          <w:sz w:val="28"/>
          <w:szCs w:val="28"/>
          <w:lang w:val="uk-UA"/>
        </w:rPr>
        <w:t>5</w:t>
      </w:r>
      <w:r w:rsidRPr="005F5D43">
        <w:rPr>
          <w:rFonts w:ascii="Times New Roman" w:eastAsia="Times New Roman" w:hAnsi="Times New Roman" w:cs="Times New Roman"/>
          <w:sz w:val="28"/>
          <w:szCs w:val="28"/>
          <w:lang w:val="uk-UA"/>
        </w:rPr>
        <w:t xml:space="preserve"> враховано положення та основні завдання програмних документів, зокрема:</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постанови Кабінету Міністрів України від 13 серпня 2024 року № 940 </w:t>
      </w:r>
      <w:r w:rsidR="00207EEE" w:rsidRPr="005F5D43">
        <w:rPr>
          <w:rFonts w:ascii="Times New Roman" w:eastAsia="Times New Roman" w:hAnsi="Times New Roman" w:cs="Times New Roman"/>
          <w:sz w:val="28"/>
          <w:szCs w:val="28"/>
          <w:lang w:val="uk-UA"/>
        </w:rPr>
        <w:br/>
      </w:r>
      <w:r w:rsidRPr="005F5D43">
        <w:rPr>
          <w:rFonts w:ascii="Times New Roman" w:eastAsia="Times New Roman" w:hAnsi="Times New Roman" w:cs="Times New Roman"/>
          <w:sz w:val="28"/>
          <w:szCs w:val="28"/>
          <w:lang w:val="uk-UA"/>
        </w:rPr>
        <w:t xml:space="preserve">«Про внесення змін до Державної стратегії регіонального розвитку на </w:t>
      </w:r>
      <w:r w:rsidR="00207EEE" w:rsidRPr="005F5D43">
        <w:rPr>
          <w:rFonts w:ascii="Times New Roman" w:eastAsia="Times New Roman" w:hAnsi="Times New Roman" w:cs="Times New Roman"/>
          <w:sz w:val="28"/>
          <w:szCs w:val="28"/>
          <w:lang w:val="uk-UA"/>
        </w:rPr>
        <w:br/>
      </w:r>
      <w:r w:rsidRPr="005F5D43">
        <w:rPr>
          <w:rFonts w:ascii="Times New Roman" w:eastAsia="Times New Roman" w:hAnsi="Times New Roman" w:cs="Times New Roman"/>
          <w:sz w:val="28"/>
          <w:szCs w:val="28"/>
          <w:lang w:val="uk-UA"/>
        </w:rPr>
        <w:t>2021 - 2027 роки»;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розпорядження голови облдержадміністрації від 28 грудня 2019 року </w:t>
      </w:r>
      <w:r w:rsidR="00207EEE" w:rsidRPr="005F5D43">
        <w:rPr>
          <w:rFonts w:ascii="Times New Roman" w:eastAsia="Times New Roman" w:hAnsi="Times New Roman" w:cs="Times New Roman"/>
          <w:sz w:val="28"/>
          <w:szCs w:val="28"/>
          <w:lang w:val="uk-UA"/>
        </w:rPr>
        <w:br/>
      </w:r>
      <w:r w:rsidRPr="005F5D43">
        <w:rPr>
          <w:rFonts w:ascii="Times New Roman" w:eastAsia="Times New Roman" w:hAnsi="Times New Roman" w:cs="Times New Roman"/>
          <w:sz w:val="28"/>
          <w:szCs w:val="28"/>
          <w:lang w:val="uk-UA"/>
        </w:rPr>
        <w:t>№ 1098 «Про Стратегію розвитку Рівненської області на період до 2027 року».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Програма – 2025 розроблена департаментом економічного розвитку і торгівлі облдержадміністрації спільно з структурними підрозділами облдержадміністрації, територіальними органами міністерств та інших центральних органів виконавчої влади, а також із врахуванням пропозицій районних військових адміністрацій та органів місцевого самоврядування.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Програма – 2025 враховує основні прогнозні </w:t>
      </w:r>
      <w:proofErr w:type="spellStart"/>
      <w:r w:rsidRPr="005F5D43">
        <w:rPr>
          <w:rFonts w:ascii="Times New Roman" w:eastAsia="Times New Roman" w:hAnsi="Times New Roman" w:cs="Times New Roman"/>
          <w:sz w:val="28"/>
          <w:szCs w:val="28"/>
          <w:lang w:val="uk-UA"/>
        </w:rPr>
        <w:t>макропоказники</w:t>
      </w:r>
      <w:proofErr w:type="spellEnd"/>
      <w:r w:rsidRPr="005F5D43">
        <w:rPr>
          <w:rFonts w:ascii="Times New Roman" w:eastAsia="Times New Roman" w:hAnsi="Times New Roman" w:cs="Times New Roman"/>
          <w:sz w:val="28"/>
          <w:szCs w:val="28"/>
          <w:lang w:val="uk-UA"/>
        </w:rPr>
        <w:t xml:space="preserve"> економічного та соціального розвитку України на 2025 – 2027 роки (постанова Кабінету Міністрів України від 28 червня 2024 року №</w:t>
      </w:r>
      <w:r w:rsidR="00B147CB">
        <w:rPr>
          <w:rFonts w:ascii="Times New Roman" w:eastAsia="Times New Roman" w:hAnsi="Times New Roman" w:cs="Times New Roman"/>
          <w:sz w:val="28"/>
          <w:szCs w:val="28"/>
          <w:lang w:val="uk-UA"/>
        </w:rPr>
        <w:t> </w:t>
      </w:r>
      <w:r w:rsidRPr="005F5D43">
        <w:rPr>
          <w:rFonts w:ascii="Times New Roman" w:eastAsia="Times New Roman" w:hAnsi="Times New Roman" w:cs="Times New Roman"/>
          <w:sz w:val="28"/>
          <w:szCs w:val="28"/>
          <w:lang w:val="uk-UA"/>
        </w:rPr>
        <w:t>780) та поточну ситуацію в Рівненській області, пов’язану з введенням в Україні воєнного стану.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Метою Програми – 2025 є:</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стабільної роботи господарського комплексу, інфраструктури та соціальної сфери області в умовах воєнного стану передусім для захисту жителів та посилення енергетичної безпеки;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всебічна підтримка Збройних Сил України та територій, найбільш постраждалих внаслідок агресії російської федерації;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залучення суб’єктів господарювання області до діяльності військово</w:t>
      </w:r>
      <w:r w:rsidR="00B147CB">
        <w:rPr>
          <w:rFonts w:ascii="Times New Roman" w:eastAsia="Times New Roman" w:hAnsi="Times New Roman" w:cs="Times New Roman"/>
          <w:sz w:val="28"/>
          <w:szCs w:val="28"/>
          <w:lang w:val="uk-UA"/>
        </w:rPr>
        <w:t>-</w:t>
      </w:r>
      <w:r w:rsidRPr="005F5D43">
        <w:rPr>
          <w:rFonts w:ascii="Times New Roman" w:eastAsia="Times New Roman" w:hAnsi="Times New Roman" w:cs="Times New Roman"/>
          <w:sz w:val="28"/>
          <w:szCs w:val="28"/>
          <w:lang w:val="uk-UA"/>
        </w:rPr>
        <w:t>промислового комплексу, виробництва продукції оборонного призначення;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 xml:space="preserve">створення передумов для прискореного післявоєнного розвитку регіону, зокрема шляхом забезпечення сприятливих умов для ведення та підтримки бізнесу, в тому числі </w:t>
      </w:r>
      <w:proofErr w:type="spellStart"/>
      <w:r w:rsidRPr="005F5D43">
        <w:rPr>
          <w:rFonts w:ascii="Times New Roman" w:eastAsia="Times New Roman" w:hAnsi="Times New Roman" w:cs="Times New Roman"/>
          <w:sz w:val="28"/>
          <w:szCs w:val="28"/>
          <w:lang w:val="uk-UA"/>
        </w:rPr>
        <w:t>релокованого</w:t>
      </w:r>
      <w:proofErr w:type="spellEnd"/>
      <w:r w:rsidRPr="005F5D43">
        <w:rPr>
          <w:rFonts w:ascii="Times New Roman" w:eastAsia="Times New Roman" w:hAnsi="Times New Roman" w:cs="Times New Roman"/>
          <w:sz w:val="28"/>
          <w:szCs w:val="28"/>
          <w:lang w:val="uk-UA"/>
        </w:rPr>
        <w:t xml:space="preserve"> з районів, найбільш постраждалих внаслідок російської агресії;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підвищення інвестиційної привабливості територій, підтримка залучення інвестицій;</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територіальним громадам області у вирішенні їх нагальних проблем, активізація міжнародного, міжрегіонального та міжмуніципального співробітництва;</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організація якісної підготовки кадрів;</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всебічна підтримка ветеранів, військових та членів їх сімей, внутрішньо переміщених осіб.</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У Програмі – 2025 визначено:</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основні пріоритети, завдання та заходи соціально-економічного розвитку на 2025 рік;</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загальноекономічні показники на 2025 рік (додаток 1);</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перелік інвестиційних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та програм регіонального розвитку, реалізація яких потребує залучення бюджетних коштів (додаток 2);</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перелік діючих обласних галузевих програм,</w:t>
      </w:r>
      <w:r w:rsidRPr="005F5D43">
        <w:rPr>
          <w:rFonts w:ascii="Times New Roman" w:eastAsia="Times New Roman" w:hAnsi="Times New Roman" w:cs="Times New Roman"/>
          <w:lang w:val="uk-UA"/>
        </w:rPr>
        <w:t xml:space="preserve"> </w:t>
      </w:r>
      <w:r w:rsidRPr="005F5D43">
        <w:rPr>
          <w:rFonts w:ascii="Times New Roman" w:eastAsia="Times New Roman" w:hAnsi="Times New Roman" w:cs="Times New Roman"/>
          <w:sz w:val="28"/>
          <w:szCs w:val="28"/>
          <w:lang w:val="uk-UA"/>
        </w:rPr>
        <w:t>реалізація яких передбачена у 2025 році (додаток 3).</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Для реалізації завдань та заходів Програми – 2025 планується залучення бюджетних та небюджетних коштів, у тому числі коштів міжнародної технічної допомоги та міжнародних фінансових організацій, інших джерел, не заборонених законодавством.</w:t>
      </w:r>
    </w:p>
    <w:p w:rsidR="0006002A" w:rsidRPr="005F5D43" w:rsidRDefault="0006002A" w:rsidP="00207EEE">
      <w:pPr>
        <w:spacing w:before="60" w:after="120" w:line="240" w:lineRule="auto"/>
        <w:ind w:right="30" w:firstLine="709"/>
        <w:rPr>
          <w:rFonts w:ascii="Times New Roman" w:eastAsia="Times New Roman" w:hAnsi="Times New Roman" w:cs="Times New Roman"/>
          <w:sz w:val="28"/>
          <w:szCs w:val="28"/>
          <w:lang w:val="uk-UA"/>
        </w:rPr>
      </w:pPr>
    </w:p>
    <w:p w:rsidR="0006002A" w:rsidRPr="005F5D43" w:rsidRDefault="00A81A79" w:rsidP="00207EEE">
      <w:pPr>
        <w:spacing w:before="60" w:after="120" w:line="240" w:lineRule="auto"/>
        <w:ind w:right="30" w:firstLine="709"/>
        <w:jc w:val="center"/>
        <w:rPr>
          <w:rFonts w:ascii="Times New Roman" w:eastAsia="Times New Roman" w:hAnsi="Times New Roman" w:cs="Times New Roman"/>
          <w:b/>
          <w:sz w:val="30"/>
          <w:szCs w:val="30"/>
          <w:lang w:val="uk-UA"/>
        </w:rPr>
      </w:pPr>
      <w:r w:rsidRPr="005F5D43">
        <w:rPr>
          <w:lang w:val="uk-UA"/>
        </w:rPr>
        <w:br w:type="page"/>
      </w:r>
    </w:p>
    <w:p w:rsidR="0006002A" w:rsidRPr="005F5D43" w:rsidRDefault="00A81A79" w:rsidP="00207EEE">
      <w:pPr>
        <w:spacing w:before="60" w:after="120" w:line="240" w:lineRule="auto"/>
        <w:ind w:right="30"/>
        <w:jc w:val="center"/>
        <w:rPr>
          <w:rFonts w:ascii="Times New Roman" w:eastAsia="Times New Roman" w:hAnsi="Times New Roman" w:cs="Times New Roman"/>
          <w:b/>
          <w:sz w:val="30"/>
          <w:szCs w:val="30"/>
          <w:lang w:val="uk-UA"/>
        </w:rPr>
      </w:pPr>
      <w:r w:rsidRPr="005F5D43">
        <w:rPr>
          <w:rFonts w:ascii="Times New Roman" w:eastAsia="Times New Roman" w:hAnsi="Times New Roman" w:cs="Times New Roman"/>
          <w:b/>
          <w:sz w:val="30"/>
          <w:szCs w:val="30"/>
          <w:lang w:val="uk-UA"/>
        </w:rPr>
        <w:lastRenderedPageBreak/>
        <w:t xml:space="preserve">Основні </w:t>
      </w:r>
      <w:r w:rsidR="00207EEE" w:rsidRPr="005F5D43">
        <w:rPr>
          <w:rFonts w:ascii="Times New Roman" w:eastAsia="Times New Roman" w:hAnsi="Times New Roman" w:cs="Times New Roman"/>
          <w:b/>
          <w:sz w:val="30"/>
          <w:szCs w:val="30"/>
          <w:lang w:val="uk-UA"/>
        </w:rPr>
        <w:t>пріоритети, завдання та заходи</w:t>
      </w:r>
      <w:r w:rsidR="00207EEE" w:rsidRPr="005F5D43">
        <w:rPr>
          <w:rFonts w:ascii="Times New Roman" w:eastAsia="Times New Roman" w:hAnsi="Times New Roman" w:cs="Times New Roman"/>
          <w:b/>
          <w:sz w:val="30"/>
          <w:szCs w:val="30"/>
          <w:lang w:val="uk-UA"/>
        </w:rPr>
        <w:br/>
      </w:r>
      <w:r w:rsidRPr="005F5D43">
        <w:rPr>
          <w:rFonts w:ascii="Times New Roman" w:eastAsia="Times New Roman" w:hAnsi="Times New Roman" w:cs="Times New Roman"/>
          <w:b/>
          <w:sz w:val="30"/>
          <w:szCs w:val="30"/>
          <w:lang w:val="uk-UA"/>
        </w:rPr>
        <w:t>соціально-економічного розвитку області на 2025 рік</w:t>
      </w:r>
    </w:p>
    <w:p w:rsidR="0006002A" w:rsidRPr="005F5D43" w:rsidRDefault="00A81A79" w:rsidP="00207EEE">
      <w:pPr>
        <w:spacing w:before="60" w:after="120" w:line="240" w:lineRule="auto"/>
        <w:ind w:right="30" w:firstLine="709"/>
        <w:jc w:val="center"/>
        <w:rPr>
          <w:rFonts w:ascii="Times New Roman" w:eastAsia="Times New Roman" w:hAnsi="Times New Roman" w:cs="Times New Roman"/>
          <w:b/>
          <w:sz w:val="28"/>
          <w:szCs w:val="28"/>
          <w:lang w:val="uk-UA"/>
        </w:rPr>
      </w:pPr>
      <w:r w:rsidRPr="005F5D43">
        <w:rPr>
          <w:rFonts w:ascii="Times New Roman" w:eastAsia="Times New Roman" w:hAnsi="Times New Roman" w:cs="Times New Roman"/>
          <w:b/>
          <w:sz w:val="28"/>
          <w:szCs w:val="28"/>
          <w:lang w:val="uk-UA"/>
        </w:rPr>
        <w:t xml:space="preserve"> </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5F5D43">
        <w:rPr>
          <w:rFonts w:ascii="Times New Roman" w:eastAsia="Times New Roman" w:hAnsi="Times New Roman" w:cs="Times New Roman"/>
          <w:b/>
          <w:sz w:val="28"/>
          <w:szCs w:val="28"/>
          <w:lang w:val="uk-UA"/>
        </w:rPr>
        <w:t>1.</w:t>
      </w:r>
      <w:r w:rsidRPr="005F5D43">
        <w:rPr>
          <w:rFonts w:ascii="Times New Roman" w:eastAsia="Times New Roman" w:hAnsi="Times New Roman" w:cs="Times New Roman"/>
          <w:sz w:val="14"/>
          <w:szCs w:val="14"/>
          <w:lang w:val="uk-UA"/>
        </w:rPr>
        <w:t xml:space="preserve">  </w:t>
      </w:r>
      <w:r w:rsidRPr="005F5D43">
        <w:rPr>
          <w:rFonts w:ascii="Times New Roman" w:eastAsia="Times New Roman" w:hAnsi="Times New Roman" w:cs="Times New Roman"/>
          <w:b/>
          <w:sz w:val="28"/>
          <w:szCs w:val="28"/>
          <w:lang w:val="uk-UA"/>
        </w:rPr>
        <w:t>Забезпечення стабільної роботи господарського комплексу області:</w:t>
      </w:r>
    </w:p>
    <w:p w:rsidR="00207EEE" w:rsidRPr="005F5D43" w:rsidRDefault="00207EEE" w:rsidP="00207EEE">
      <w:pPr>
        <w:spacing w:before="60" w:after="120" w:line="240" w:lineRule="auto"/>
        <w:ind w:right="30" w:firstLine="709"/>
        <w:jc w:val="both"/>
        <w:rPr>
          <w:rFonts w:ascii="Times New Roman" w:eastAsia="Times New Roman" w:hAnsi="Times New Roman" w:cs="Times New Roman"/>
          <w:i/>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1.1. Промисловість: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комплексна підтримка модернізації виробничих потужностей на основі впровадження сучасних </w:t>
      </w:r>
      <w:proofErr w:type="spellStart"/>
      <w:r w:rsidRPr="005F5D43">
        <w:rPr>
          <w:rFonts w:ascii="Times New Roman" w:eastAsia="Times New Roman" w:hAnsi="Times New Roman" w:cs="Times New Roman"/>
          <w:sz w:val="28"/>
          <w:szCs w:val="28"/>
          <w:lang w:val="uk-UA"/>
        </w:rPr>
        <w:t>енерго</w:t>
      </w:r>
      <w:proofErr w:type="spellEnd"/>
      <w:r w:rsidRPr="005F5D43">
        <w:rPr>
          <w:rFonts w:ascii="Times New Roman" w:eastAsia="Times New Roman" w:hAnsi="Times New Roman" w:cs="Times New Roman"/>
          <w:sz w:val="28"/>
          <w:szCs w:val="28"/>
          <w:lang w:val="uk-UA"/>
        </w:rPr>
        <w:t>- та ресурсозберігаючих технологій, створення нових високотехнологічних виробництв, залучення відповідних інвестицій, створення нових робочих місць;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переорієнтації господарського комплексу області на оборонні замовлення та післявоєнне відновлення економіки;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реалізація заходів з підтримки досліджень та впровадження технологічних, організаційних, комерційних інновацій;</w:t>
      </w:r>
    </w:p>
    <w:p w:rsidR="0006002A" w:rsidRPr="005F5D43" w:rsidRDefault="00A81A79" w:rsidP="00207EEE">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діяльності виробників </w:t>
      </w:r>
      <w:proofErr w:type="spellStart"/>
      <w:r w:rsidRPr="005F5D43">
        <w:rPr>
          <w:rFonts w:ascii="Times New Roman" w:eastAsia="Times New Roman" w:hAnsi="Times New Roman" w:cs="Times New Roman"/>
          <w:sz w:val="28"/>
          <w:szCs w:val="28"/>
          <w:lang w:val="uk-UA"/>
        </w:rPr>
        <w:t>крафтової</w:t>
      </w:r>
      <w:proofErr w:type="spellEnd"/>
      <w:r w:rsidRPr="005F5D43">
        <w:rPr>
          <w:rFonts w:ascii="Times New Roman" w:eastAsia="Times New Roman" w:hAnsi="Times New Roman" w:cs="Times New Roman"/>
          <w:sz w:val="28"/>
          <w:szCs w:val="28"/>
          <w:lang w:val="uk-UA"/>
        </w:rPr>
        <w:t xml:space="preserve"> та локальної продукції;</w:t>
      </w:r>
    </w:p>
    <w:p w:rsidR="0006002A" w:rsidRPr="005F5D43" w:rsidRDefault="00A81A79" w:rsidP="00207EEE">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реалізації інноваційних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з метою відновлення та розбудови промислового потенціалу з урахуванням </w:t>
      </w:r>
      <w:proofErr w:type="spellStart"/>
      <w:r w:rsidRPr="005F5D43">
        <w:rPr>
          <w:rFonts w:ascii="Times New Roman" w:eastAsia="Times New Roman" w:hAnsi="Times New Roman" w:cs="Times New Roman"/>
          <w:sz w:val="28"/>
          <w:szCs w:val="28"/>
          <w:lang w:val="uk-UA"/>
        </w:rPr>
        <w:t>фактора</w:t>
      </w:r>
      <w:proofErr w:type="spellEnd"/>
      <w:r w:rsidRPr="005F5D43">
        <w:rPr>
          <w:rFonts w:ascii="Times New Roman" w:eastAsia="Times New Roman" w:hAnsi="Times New Roman" w:cs="Times New Roman"/>
          <w:sz w:val="28"/>
          <w:szCs w:val="28"/>
          <w:lang w:val="uk-UA"/>
        </w:rPr>
        <w:t xml:space="preserve"> безпеки;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всебічна підтримка розвитку </w:t>
      </w:r>
      <w:proofErr w:type="spellStart"/>
      <w:r w:rsidRPr="005F5D43">
        <w:rPr>
          <w:rFonts w:ascii="Times New Roman" w:eastAsia="Times New Roman" w:hAnsi="Times New Roman" w:cs="Times New Roman"/>
          <w:sz w:val="28"/>
          <w:szCs w:val="28"/>
          <w:lang w:val="uk-UA"/>
        </w:rPr>
        <w:t>експортоорієнтованих</w:t>
      </w:r>
      <w:proofErr w:type="spellEnd"/>
      <w:r w:rsidRPr="005F5D43">
        <w:rPr>
          <w:rFonts w:ascii="Times New Roman" w:eastAsia="Times New Roman" w:hAnsi="Times New Roman" w:cs="Times New Roman"/>
          <w:sz w:val="28"/>
          <w:szCs w:val="28"/>
          <w:lang w:val="uk-UA"/>
        </w:rPr>
        <w:t xml:space="preserve"> галузей економіки з високою доданою вартістю, зокрема, деревообробної та меблевої промисловості,</w:t>
      </w:r>
      <w:r w:rsidRPr="005F5D43">
        <w:rPr>
          <w:rFonts w:ascii="Times New Roman" w:eastAsia="Times New Roman" w:hAnsi="Times New Roman" w:cs="Times New Roman"/>
          <w:sz w:val="28"/>
          <w:szCs w:val="28"/>
          <w:shd w:val="clear" w:color="auto" w:fill="70AD47"/>
          <w:lang w:val="uk-UA"/>
        </w:rPr>
        <w:t xml:space="preserve"> </w:t>
      </w:r>
      <w:r w:rsidRPr="005F5D43">
        <w:rPr>
          <w:rFonts w:ascii="Times New Roman" w:eastAsia="Times New Roman" w:hAnsi="Times New Roman" w:cs="Times New Roman"/>
          <w:sz w:val="28"/>
          <w:szCs w:val="28"/>
          <w:lang w:val="uk-UA"/>
        </w:rPr>
        <w:t>виробництва продуктів харчування та поглиблена переробка сільськогосподарської продукції;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ефективному та комплексному використанню місцевих сировинних ресурсів, зокрема розвитку видобувної галузі та виробництва будівельних матеріалів і скловиробів.</w:t>
      </w:r>
    </w:p>
    <w:p w:rsidR="00207EEE" w:rsidRPr="005F5D43" w:rsidRDefault="00207EEE" w:rsidP="00207EEE">
      <w:pPr>
        <w:spacing w:before="60" w:after="120" w:line="240" w:lineRule="auto"/>
        <w:ind w:right="30" w:firstLine="709"/>
        <w:jc w:val="both"/>
        <w:rPr>
          <w:rFonts w:ascii="Times New Roman" w:eastAsia="Times New Roman" w:hAnsi="Times New Roman" w:cs="Times New Roman"/>
          <w:i/>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1.2. Агропромисловий комплекс:</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реалізації в області державних та регіональних програм підтримки галузі, реалізація заходів щодо продовольчої безпеки України та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підтримка розвитку тваринницької галузі, в тому числі молочного скотарства;</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впровадженню високорентабельних </w:t>
      </w:r>
      <w:proofErr w:type="spellStart"/>
      <w:r w:rsidRPr="005F5D43">
        <w:rPr>
          <w:rFonts w:ascii="Times New Roman" w:eastAsia="Times New Roman" w:hAnsi="Times New Roman" w:cs="Times New Roman"/>
          <w:sz w:val="28"/>
          <w:szCs w:val="28"/>
          <w:lang w:val="uk-UA"/>
        </w:rPr>
        <w:t>агротехнологій</w:t>
      </w:r>
      <w:proofErr w:type="spellEnd"/>
      <w:r w:rsidRPr="005F5D43">
        <w:rPr>
          <w:rFonts w:ascii="Times New Roman" w:eastAsia="Times New Roman" w:hAnsi="Times New Roman" w:cs="Times New Roman"/>
          <w:sz w:val="28"/>
          <w:szCs w:val="28"/>
          <w:lang w:val="uk-UA"/>
        </w:rPr>
        <w:t>, ефективному використанню земель сільськогосподарського призначення, залученню відповідних інвестицій;</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реалізація заходів із розвитку виробництва органічної сільськогосподарської продукції та екологічно чистих продуктів харчування, ягідництва, садівництва;</w:t>
      </w:r>
    </w:p>
    <w:p w:rsidR="001E4E15" w:rsidRPr="005F5D43" w:rsidRDefault="001E4E15">
      <w:pPr>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br w:type="page"/>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підтримка розвитку сільських територій шляхом створення середніх та малих суб’єктів господарювання.</w:t>
      </w:r>
    </w:p>
    <w:p w:rsidR="0006002A" w:rsidRPr="005F5D43" w:rsidRDefault="0006002A" w:rsidP="00207EEE">
      <w:pPr>
        <w:spacing w:before="60" w:after="120" w:line="240" w:lineRule="auto"/>
        <w:ind w:right="30" w:firstLine="709"/>
        <w:rPr>
          <w:rFonts w:ascii="Times New Roman" w:eastAsia="Times New Roman" w:hAnsi="Times New Roman" w:cs="Times New Roman"/>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1.3. Розвиток бізнесу, сприяння зайнятості населення, створення нових робочих місць: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створення умов для повернення жителів області, які виїхали за кордон, зокрема шляхом розширення державних та обласних програм підтримки;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реалізації в області міжнародних, державних, регіональних та місцевих програм підтримки підприємництва, зайнятості населення, активізації інвестиційної діяльності;</w:t>
      </w:r>
    </w:p>
    <w:p w:rsidR="001E4E15" w:rsidRPr="005F5D43" w:rsidRDefault="001E4E15"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забезпечення ефективної взаємодії </w:t>
      </w:r>
      <w:r w:rsidR="006E5B19" w:rsidRPr="005F5D43">
        <w:rPr>
          <w:rFonts w:ascii="Times New Roman" w:eastAsia="Times New Roman" w:hAnsi="Times New Roman" w:cs="Times New Roman"/>
          <w:sz w:val="28"/>
          <w:szCs w:val="28"/>
          <w:lang w:val="uk-UA"/>
        </w:rPr>
        <w:t xml:space="preserve">та діалогом </w:t>
      </w:r>
      <w:r w:rsidRPr="005F5D43">
        <w:rPr>
          <w:rFonts w:ascii="Times New Roman" w:eastAsia="Times New Roman" w:hAnsi="Times New Roman" w:cs="Times New Roman"/>
          <w:sz w:val="28"/>
          <w:szCs w:val="28"/>
          <w:lang w:val="uk-UA"/>
        </w:rPr>
        <w:t>між бізнес-середовищем та владою;</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розвитку експортного потенціалу, просування місцевої продукції на зовнішні ринки, налагодження міжнародної та міжрегіональної кооперації;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розміщенню та ефективному функціонуванню суб’єктів господарювання, </w:t>
      </w:r>
      <w:proofErr w:type="spellStart"/>
      <w:r w:rsidRPr="005F5D43">
        <w:rPr>
          <w:rFonts w:ascii="Times New Roman" w:eastAsia="Times New Roman" w:hAnsi="Times New Roman" w:cs="Times New Roman"/>
          <w:sz w:val="28"/>
          <w:szCs w:val="28"/>
          <w:lang w:val="uk-UA"/>
        </w:rPr>
        <w:t>релокованих</w:t>
      </w:r>
      <w:proofErr w:type="spellEnd"/>
      <w:r w:rsidRPr="005F5D43">
        <w:rPr>
          <w:rFonts w:ascii="Times New Roman" w:eastAsia="Times New Roman" w:hAnsi="Times New Roman" w:cs="Times New Roman"/>
          <w:sz w:val="28"/>
          <w:szCs w:val="28"/>
          <w:lang w:val="uk-UA"/>
        </w:rPr>
        <w:t xml:space="preserve"> із територій, де ведуться бойові дії або є загроза таких дій;</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залучення для кластерів місцевої економіки перспективних партнерів (клієнтів, інвесторів, технологічних партнерів тощо);</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налагодження ефективної співпраці роботодавців, навчальних закладів та центр</w:t>
      </w:r>
      <w:r w:rsidR="006E5B19" w:rsidRPr="005F5D43">
        <w:rPr>
          <w:rFonts w:ascii="Times New Roman" w:eastAsia="Times New Roman" w:hAnsi="Times New Roman" w:cs="Times New Roman"/>
          <w:sz w:val="28"/>
          <w:szCs w:val="28"/>
          <w:lang w:val="uk-UA"/>
        </w:rPr>
        <w:t>у</w:t>
      </w:r>
      <w:r w:rsidRPr="005F5D43">
        <w:rPr>
          <w:rFonts w:ascii="Times New Roman" w:eastAsia="Times New Roman" w:hAnsi="Times New Roman" w:cs="Times New Roman"/>
          <w:sz w:val="28"/>
          <w:szCs w:val="28"/>
          <w:lang w:val="uk-UA"/>
        </w:rPr>
        <w:t xml:space="preserve"> зайнятості в рамках координаційної платформи «</w:t>
      </w:r>
      <w:proofErr w:type="spellStart"/>
      <w:r w:rsidRPr="005F5D43">
        <w:rPr>
          <w:rFonts w:ascii="Times New Roman" w:eastAsia="Times New Roman" w:hAnsi="Times New Roman" w:cs="Times New Roman"/>
          <w:sz w:val="28"/>
          <w:szCs w:val="28"/>
          <w:lang w:val="uk-UA"/>
        </w:rPr>
        <w:t>Rivne</w:t>
      </w:r>
      <w:proofErr w:type="spellEnd"/>
      <w:r w:rsidRPr="005F5D43">
        <w:rPr>
          <w:rFonts w:ascii="Times New Roman" w:eastAsia="Times New Roman" w:hAnsi="Times New Roman" w:cs="Times New Roman"/>
          <w:sz w:val="28"/>
          <w:szCs w:val="28"/>
          <w:lang w:val="uk-UA"/>
        </w:rPr>
        <w:t xml:space="preserve"> </w:t>
      </w:r>
      <w:proofErr w:type="spellStart"/>
      <w:r w:rsidRPr="005F5D43">
        <w:rPr>
          <w:rFonts w:ascii="Times New Roman" w:eastAsia="Times New Roman" w:hAnsi="Times New Roman" w:cs="Times New Roman"/>
          <w:sz w:val="28"/>
          <w:szCs w:val="28"/>
          <w:lang w:val="uk-UA"/>
        </w:rPr>
        <w:t>work</w:t>
      </w:r>
      <w:proofErr w:type="spellEnd"/>
      <w:r w:rsidRPr="005F5D43">
        <w:rPr>
          <w:rFonts w:ascii="Times New Roman" w:eastAsia="Times New Roman" w:hAnsi="Times New Roman" w:cs="Times New Roman"/>
          <w:sz w:val="28"/>
          <w:szCs w:val="28"/>
          <w:lang w:val="uk-UA"/>
        </w:rPr>
        <w:t xml:space="preserve"> </w:t>
      </w:r>
      <w:proofErr w:type="spellStart"/>
      <w:r w:rsidRPr="005F5D43">
        <w:rPr>
          <w:rFonts w:ascii="Times New Roman" w:eastAsia="Times New Roman" w:hAnsi="Times New Roman" w:cs="Times New Roman"/>
          <w:sz w:val="28"/>
          <w:szCs w:val="28"/>
          <w:lang w:val="uk-UA"/>
        </w:rPr>
        <w:t>hub</w:t>
      </w:r>
      <w:proofErr w:type="spellEnd"/>
      <w:r w:rsidRPr="005F5D43">
        <w:rPr>
          <w:rFonts w:ascii="Times New Roman" w:eastAsia="Times New Roman" w:hAnsi="Times New Roman" w:cs="Times New Roman"/>
          <w:sz w:val="28"/>
          <w:szCs w:val="28"/>
          <w:lang w:val="uk-UA"/>
        </w:rPr>
        <w:t>» з метою підготовки та перепідготовки кадрів для суб’єктів підприємницької діяльності області, забезпечення поточної та перспективної потреби ринку праці;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реалізація заходів щодо стимулювання та підтримки вітчизняного виробника, зростання попиту на українські товари, сприяння інвестиціям у реальний сектор, розвитку несировинного експорту;</w:t>
      </w:r>
    </w:p>
    <w:p w:rsidR="0006002A" w:rsidRPr="005F5D43" w:rsidRDefault="00A81A79" w:rsidP="00207EEE">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наповнення продовольчого ринку та цінової стабільності;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протидія недобросовісній конкуренції на регіональних ринках;</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посилення роботи щодо забезпечення дотримання державних гарантій з оплати праці.</w:t>
      </w:r>
    </w:p>
    <w:p w:rsidR="0006002A" w:rsidRPr="005F5D43" w:rsidRDefault="0006002A" w:rsidP="00207EEE">
      <w:pPr>
        <w:spacing w:before="60" w:after="120" w:line="240" w:lineRule="auto"/>
        <w:ind w:right="30" w:firstLine="709"/>
        <w:jc w:val="both"/>
        <w:rPr>
          <w:rFonts w:ascii="Times New Roman" w:eastAsia="Times New Roman" w:hAnsi="Times New Roman" w:cs="Times New Roman"/>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1.4. Сприяння активізації інвестиційної діяльності в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стимулювання залучення інвестицій шляхом формування в області мережі індустріальних парків</w:t>
      </w:r>
      <w:r w:rsidRPr="005F5D43">
        <w:rPr>
          <w:rFonts w:ascii="Times New Roman" w:eastAsia="Times New Roman" w:hAnsi="Times New Roman" w:cs="Times New Roman"/>
          <w:lang w:val="uk-UA"/>
        </w:rPr>
        <w:t xml:space="preserve"> </w:t>
      </w:r>
      <w:r w:rsidRPr="005F5D43">
        <w:rPr>
          <w:rFonts w:ascii="Times New Roman" w:eastAsia="Times New Roman" w:hAnsi="Times New Roman" w:cs="Times New Roman"/>
          <w:sz w:val="28"/>
          <w:szCs w:val="28"/>
          <w:lang w:val="uk-UA"/>
        </w:rPr>
        <w:t>та технологічних, кластерних об’єднань;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покращення інвестиційної промоції регіону, підготовка та поширення якісних інформаційних матеріалів про інвестиційний потенціал регіону;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зниження потенційних ризиків для інвестування та формування позитивного інвестиційного іміджу Рівненської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 xml:space="preserve">сприяння у підготовці інвестиційних продуктів та реалізації пріоритетних для регіону інвестиційних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спрямованих на розвиток та функціонування територій громад, розвиток інноваційної структури;</w:t>
      </w:r>
    </w:p>
    <w:p w:rsidR="001E4E15" w:rsidRPr="005F5D43" w:rsidRDefault="001E4E15" w:rsidP="001E4E15">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діяльності з пошуку, залучення, супроводу та обслуговування інвесторів;</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налагодження співпраці з програмами та </w:t>
      </w:r>
      <w:proofErr w:type="spellStart"/>
      <w:r w:rsidRPr="005F5D43">
        <w:rPr>
          <w:rFonts w:ascii="Times New Roman" w:eastAsia="Times New Roman" w:hAnsi="Times New Roman" w:cs="Times New Roman"/>
          <w:sz w:val="28"/>
          <w:szCs w:val="28"/>
          <w:lang w:val="uk-UA"/>
        </w:rPr>
        <w:t>проєктами</w:t>
      </w:r>
      <w:proofErr w:type="spellEnd"/>
      <w:r w:rsidRPr="005F5D43">
        <w:rPr>
          <w:rFonts w:ascii="Times New Roman" w:eastAsia="Times New Roman" w:hAnsi="Times New Roman" w:cs="Times New Roman"/>
          <w:sz w:val="28"/>
          <w:szCs w:val="28"/>
          <w:lang w:val="uk-UA"/>
        </w:rPr>
        <w:t xml:space="preserve"> міжнародної технічної допомоги, а також міжнародними фінансовими організаціями для розвитку області і територіальних громад;</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розбудові партнерства, міжмуніципальному, міжрегіональному та міжнародному співробітництву;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підтримка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регіонального розвитку, спрямованих на розвиток пріоритетних видів економічної діяльності, визначених на засадах смарт-спеціалізації;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забезпечення надання суб’єктам господарювання області необхідної інформаційно-консультативної підтримки з питань </w:t>
      </w:r>
      <w:r w:rsidR="006E5B19" w:rsidRPr="005F5D43">
        <w:rPr>
          <w:rFonts w:ascii="Times New Roman" w:eastAsia="Times New Roman" w:hAnsi="Times New Roman" w:cs="Times New Roman"/>
          <w:sz w:val="28"/>
          <w:szCs w:val="28"/>
          <w:lang w:val="uk-UA"/>
        </w:rPr>
        <w:t>зовнішньоекономічної діяльності;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налагодження та розвиток існуючих </w:t>
      </w:r>
      <w:proofErr w:type="spellStart"/>
      <w:r w:rsidRPr="005F5D43">
        <w:rPr>
          <w:rFonts w:ascii="Times New Roman" w:eastAsia="Times New Roman" w:hAnsi="Times New Roman" w:cs="Times New Roman"/>
          <w:sz w:val="28"/>
          <w:szCs w:val="28"/>
          <w:lang w:val="uk-UA"/>
        </w:rPr>
        <w:t>зв'язків</w:t>
      </w:r>
      <w:proofErr w:type="spellEnd"/>
      <w:r w:rsidRPr="005F5D43">
        <w:rPr>
          <w:rFonts w:ascii="Times New Roman" w:eastAsia="Times New Roman" w:hAnsi="Times New Roman" w:cs="Times New Roman"/>
          <w:sz w:val="28"/>
          <w:szCs w:val="28"/>
          <w:lang w:val="uk-UA"/>
        </w:rPr>
        <w:t xml:space="preserve"> з окремими регіонами іноземних країн в економічній, інвестиційній, освітній, туристичній, культурній та інших сферах;</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lang w:val="uk-UA"/>
        </w:rPr>
      </w:pPr>
      <w:r w:rsidRPr="005F5D43">
        <w:rPr>
          <w:rFonts w:ascii="Times New Roman" w:eastAsia="Times New Roman" w:hAnsi="Times New Roman" w:cs="Times New Roman"/>
          <w:sz w:val="28"/>
          <w:szCs w:val="28"/>
          <w:lang w:val="uk-UA"/>
        </w:rPr>
        <w:t>забезпечення надання консультаційних послуг для місцевих товаровиробників стосовно м</w:t>
      </w:r>
      <w:r w:rsidR="006E5B19" w:rsidRPr="005F5D43">
        <w:rPr>
          <w:rFonts w:ascii="Times New Roman" w:eastAsia="Times New Roman" w:hAnsi="Times New Roman" w:cs="Times New Roman"/>
          <w:sz w:val="28"/>
          <w:szCs w:val="28"/>
          <w:lang w:val="uk-UA"/>
        </w:rPr>
        <w:t>іжнародних виставкових заходів.</w:t>
      </w:r>
    </w:p>
    <w:p w:rsidR="00207EEE" w:rsidRPr="005F5D43" w:rsidRDefault="00207EEE" w:rsidP="00207EEE">
      <w:pPr>
        <w:spacing w:before="60" w:after="120" w:line="240" w:lineRule="auto"/>
        <w:ind w:right="30" w:firstLine="709"/>
        <w:jc w:val="both"/>
        <w:rPr>
          <w:rFonts w:ascii="Times New Roman" w:eastAsia="Times New Roman" w:hAnsi="Times New Roman" w:cs="Times New Roman"/>
          <w:lang w:val="uk-UA"/>
        </w:rPr>
      </w:pPr>
    </w:p>
    <w:p w:rsidR="0006002A" w:rsidRPr="005F5D43"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5F5D43">
        <w:rPr>
          <w:rFonts w:ascii="Times New Roman" w:eastAsia="Times New Roman" w:hAnsi="Times New Roman" w:cs="Times New Roman"/>
          <w:b/>
          <w:sz w:val="28"/>
          <w:szCs w:val="28"/>
          <w:lang w:val="uk-UA"/>
        </w:rPr>
        <w:t>2.</w:t>
      </w:r>
      <w:r w:rsidRPr="005F5D43">
        <w:rPr>
          <w:rFonts w:ascii="Times New Roman" w:eastAsia="Times New Roman" w:hAnsi="Times New Roman" w:cs="Times New Roman"/>
          <w:sz w:val="14"/>
          <w:szCs w:val="14"/>
          <w:lang w:val="uk-UA"/>
        </w:rPr>
        <w:t xml:space="preserve"> </w:t>
      </w:r>
      <w:r w:rsidRPr="005F5D43">
        <w:rPr>
          <w:rFonts w:ascii="Times New Roman" w:eastAsia="Times New Roman" w:hAnsi="Times New Roman" w:cs="Times New Roman"/>
          <w:b/>
          <w:sz w:val="28"/>
          <w:szCs w:val="28"/>
          <w:lang w:val="uk-UA"/>
        </w:rPr>
        <w:t>Забезпечення ефективного функціонування та розвитку інфраструктури області:</w:t>
      </w:r>
    </w:p>
    <w:p w:rsidR="00207EEE" w:rsidRPr="005F5D43" w:rsidRDefault="00207EEE" w:rsidP="00207EEE">
      <w:pPr>
        <w:spacing w:before="60" w:after="120" w:line="240" w:lineRule="auto"/>
        <w:ind w:right="30" w:firstLine="709"/>
        <w:jc w:val="both"/>
        <w:rPr>
          <w:rFonts w:ascii="Times New Roman" w:eastAsia="Times New Roman" w:hAnsi="Times New Roman" w:cs="Times New Roman"/>
          <w:i/>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2.1. Енергетика, житлово-комунальне господарство, захист довкілля: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стабільної роботи енергетичної галузі (виробництво та постачання електроенергії, газу, води), оперативне вирішення питань ремонту та відновлення відповідної критичної інфраструктури у випадку її пошкодження внаслідок бойових дій агресора або аварій;</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реалізації в області державних та регіональних програм енергоефективності та енергозбереження;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розвиток розподільної генерації електричної енергії;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розвитку та відновленню інфраструктури для захисту жителів та посилення енергетичної безпеки громад;</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організація проведення невідкладних ремонтних робіт житлових і нежитлових приміщень, що зазнали пошкоджень внаслідок збройної агресії російської федерації;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реалізація заходів із забезпечення підвищення енергоефективності та надійності систем енергопостачання, водопостачання та водовідведення, теплопостачання та газопостачання, розширення обсягів використання альтернативних джерел енергії та палива;</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впровадження енергозберігаючих заходів у бюджетних установах області, у тому числі переведення системи опалення на альтернативні види палива; впровадження систем </w:t>
      </w:r>
      <w:proofErr w:type="spellStart"/>
      <w:r w:rsidRPr="005F5D43">
        <w:rPr>
          <w:rFonts w:ascii="Times New Roman" w:eastAsia="Times New Roman" w:hAnsi="Times New Roman" w:cs="Times New Roman"/>
          <w:sz w:val="28"/>
          <w:szCs w:val="28"/>
          <w:lang w:val="uk-UA"/>
        </w:rPr>
        <w:t>енергоменеджменту</w:t>
      </w:r>
      <w:proofErr w:type="spellEnd"/>
      <w:r w:rsidRPr="005F5D43">
        <w:rPr>
          <w:rFonts w:ascii="Times New Roman" w:eastAsia="Times New Roman" w:hAnsi="Times New Roman" w:cs="Times New Roman"/>
          <w:sz w:val="28"/>
          <w:szCs w:val="28"/>
          <w:lang w:val="uk-UA"/>
        </w:rPr>
        <w:t xml:space="preserve"> в бюджетній сфері;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підтримка створення та ефективного функціонування об’єднань співвласників багатоквартирних будинків, модернізації системи обслуговування житлового фонду, залучення управителів та управляючих компаній до обслуговування житлового фонду;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впровадження механізмів ефективного управління відходами;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охорони та раціонального використання природних ресурсів, збереження природно-заповідного фонду;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реалізація заходів із забезпечення відновлення балансу екосистем, постраждалих внаслідок збройної агресії російської федерації;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впровадження заходів з адаптації до змін</w:t>
      </w:r>
      <w:r w:rsidR="00B147CB">
        <w:rPr>
          <w:rFonts w:ascii="Times New Roman" w:eastAsia="Times New Roman" w:hAnsi="Times New Roman" w:cs="Times New Roman"/>
          <w:sz w:val="28"/>
          <w:szCs w:val="28"/>
          <w:lang w:val="uk-UA"/>
        </w:rPr>
        <w:t>и</w:t>
      </w:r>
      <w:r w:rsidRPr="005F5D43">
        <w:rPr>
          <w:rFonts w:ascii="Times New Roman" w:eastAsia="Times New Roman" w:hAnsi="Times New Roman" w:cs="Times New Roman"/>
          <w:sz w:val="28"/>
          <w:szCs w:val="28"/>
          <w:lang w:val="uk-UA"/>
        </w:rPr>
        <w:t xml:space="preserve"> клімату;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впровадженню системи інтегрованого управління водними ресурсами з басейновим принципом, розроблення та виконання планів управління басейнами річок, застосування економічної моделі цільового фінансування заходів у басейнах річок;</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здійснення заходів із захисту сільських населених пунктів і сільськогосподарських угідь від шкідливої дії вод;</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вдосконалення системи моніторингу довкілля на регіональному рівні;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формування екологічної культури жителів області.</w:t>
      </w:r>
    </w:p>
    <w:p w:rsidR="0006002A" w:rsidRPr="005F5D43" w:rsidRDefault="0006002A" w:rsidP="00207EEE">
      <w:pPr>
        <w:spacing w:before="60" w:after="120" w:line="240" w:lineRule="auto"/>
        <w:ind w:right="30" w:firstLine="709"/>
        <w:jc w:val="both"/>
        <w:rPr>
          <w:rFonts w:ascii="Times New Roman" w:eastAsia="Times New Roman" w:hAnsi="Times New Roman" w:cs="Times New Roman"/>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 xml:space="preserve">2.2. </w:t>
      </w:r>
      <w:r w:rsidR="00E918B1" w:rsidRPr="00B147CB">
        <w:rPr>
          <w:rFonts w:ascii="Times New Roman" w:eastAsia="Times New Roman" w:hAnsi="Times New Roman" w:cs="Times New Roman"/>
          <w:b/>
          <w:sz w:val="28"/>
          <w:szCs w:val="28"/>
          <w:lang w:val="uk-UA"/>
        </w:rPr>
        <w:t>Транспорт, логістика, зв'язок</w:t>
      </w:r>
      <w:r w:rsidRPr="00B147CB">
        <w:rPr>
          <w:rFonts w:ascii="Times New Roman" w:eastAsia="Times New Roman" w:hAnsi="Times New Roman" w:cs="Times New Roman"/>
          <w:b/>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забезпечення ефективної експлуатації та ремонту автомобільних доріг загального користування місцевого значення та </w:t>
      </w:r>
      <w:proofErr w:type="spellStart"/>
      <w:r w:rsidRPr="005F5D43">
        <w:rPr>
          <w:rFonts w:ascii="Times New Roman" w:eastAsia="Times New Roman" w:hAnsi="Times New Roman" w:cs="Times New Roman"/>
          <w:sz w:val="28"/>
          <w:szCs w:val="28"/>
          <w:lang w:val="uk-UA"/>
        </w:rPr>
        <w:t>вулично</w:t>
      </w:r>
      <w:proofErr w:type="spellEnd"/>
      <w:r w:rsidRPr="005F5D43">
        <w:rPr>
          <w:rFonts w:ascii="Times New Roman" w:eastAsia="Times New Roman" w:hAnsi="Times New Roman" w:cs="Times New Roman"/>
          <w:sz w:val="28"/>
          <w:szCs w:val="28"/>
          <w:lang w:val="uk-UA"/>
        </w:rPr>
        <w:t>-дорожньої мережі комунальної власності;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поточного ремонту та експлуатаційного утримання автомобільних доріг загального користування державного значення, у тому  числі штучних споруд (мостів, автопавільйонів тощо);</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паспортизації штучних споруд (мостів), реєстрації права постійного користування земельними ділянками державної власності під автомобільними дорогами загального користування державного значення;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здійснення належного контролю на дорогах області автоматичними системами габаритно-вагового контролю «зважування в русі» для захисту доріг від руйнування;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сприяння розвитку транзитного потенціалу і транспортної інфраструктури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реалізація заходів із забезпечення стабільної роботи всіх видів транспорту, зокрема забезпечення належного функціонування мережі автобусних маршрутів загального користування області та посилення безпеки перевезень;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підготовка до створення транспортно-логістичного комплексу на базі обласного комунального підприємства «Міжнародний аеропорт «Рівне»;</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належного функціонування систем оповіщення, сприянн</w:t>
      </w:r>
      <w:r w:rsidR="00B147CB">
        <w:rPr>
          <w:rFonts w:ascii="Times New Roman" w:eastAsia="Times New Roman" w:hAnsi="Times New Roman" w:cs="Times New Roman"/>
          <w:sz w:val="28"/>
          <w:szCs w:val="28"/>
          <w:lang w:val="uk-UA"/>
        </w:rPr>
        <w:t>я розвитку різних видів зв’язку.</w:t>
      </w:r>
    </w:p>
    <w:p w:rsidR="00E918B1" w:rsidRPr="00B147CB" w:rsidRDefault="00E918B1"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 xml:space="preserve">2.3. </w:t>
      </w:r>
      <w:proofErr w:type="spellStart"/>
      <w:r w:rsidRPr="00B147CB">
        <w:rPr>
          <w:rFonts w:ascii="Times New Roman" w:eastAsia="Times New Roman" w:hAnsi="Times New Roman" w:cs="Times New Roman"/>
          <w:b/>
          <w:sz w:val="28"/>
          <w:szCs w:val="28"/>
          <w:lang w:val="uk-UA"/>
        </w:rPr>
        <w:t>Цифровізація</w:t>
      </w:r>
      <w:proofErr w:type="spellEnd"/>
      <w:r w:rsidRPr="00B147CB">
        <w:rPr>
          <w:rFonts w:ascii="Times New Roman" w:eastAsia="Times New Roman" w:hAnsi="Times New Roman" w:cs="Times New Roman"/>
          <w:b/>
          <w:sz w:val="28"/>
          <w:szCs w:val="28"/>
          <w:lang w:val="uk-UA"/>
        </w:rPr>
        <w:t>, ІТ-сектор:</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розвиток мережі </w:t>
      </w:r>
      <w:r w:rsidR="00414ED7" w:rsidRPr="005F5D43">
        <w:rPr>
          <w:rFonts w:ascii="Times New Roman" w:eastAsia="Times New Roman" w:hAnsi="Times New Roman" w:cs="Times New Roman"/>
          <w:sz w:val="28"/>
          <w:szCs w:val="28"/>
          <w:lang w:val="uk-UA"/>
        </w:rPr>
        <w:t xml:space="preserve">центрів та пунктів </w:t>
      </w:r>
      <w:r w:rsidRPr="005F5D43">
        <w:rPr>
          <w:rFonts w:ascii="Times New Roman" w:eastAsia="Times New Roman" w:hAnsi="Times New Roman" w:cs="Times New Roman"/>
          <w:sz w:val="28"/>
          <w:szCs w:val="28"/>
          <w:lang w:val="uk-UA"/>
        </w:rPr>
        <w:t>надання адміністративних послуг;</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набуття та підвищення рівня цифрової грамотності населення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розвиток мереж доступу до високошвидкісного Інтернету в усіх населених пунктах;</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створення </w:t>
      </w:r>
      <w:proofErr w:type="spellStart"/>
      <w:r w:rsidRPr="005F5D43">
        <w:rPr>
          <w:rFonts w:ascii="Times New Roman" w:eastAsia="Times New Roman" w:hAnsi="Times New Roman" w:cs="Times New Roman"/>
          <w:sz w:val="28"/>
          <w:szCs w:val="28"/>
          <w:lang w:val="uk-UA"/>
        </w:rPr>
        <w:t>безбар’єрного</w:t>
      </w:r>
      <w:proofErr w:type="spellEnd"/>
      <w:r w:rsidRPr="005F5D43">
        <w:rPr>
          <w:rFonts w:ascii="Times New Roman" w:eastAsia="Times New Roman" w:hAnsi="Times New Roman" w:cs="Times New Roman"/>
          <w:sz w:val="28"/>
          <w:szCs w:val="28"/>
          <w:lang w:val="uk-UA"/>
        </w:rPr>
        <w:t xml:space="preserve"> середовища для осіб з інвалідністю та інших маломобільних груп населення у ЦНАП;</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впровадженню електронних сервісів у регіоні;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впровадженню систем електронного документообігу в органах місцевого самоврядування;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розвиток політики відкритих даних у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впровадження та розвиток інструментів електронної демократії, сприяння реалізації інформаційної кампанії щодо переваг використання інструментів електронної демократії;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впровадження інформаційної безпеки у ком</w:t>
      </w:r>
      <w:r w:rsidR="007341CE" w:rsidRPr="005F5D43">
        <w:rPr>
          <w:rFonts w:ascii="Times New Roman" w:eastAsia="Times New Roman" w:hAnsi="Times New Roman" w:cs="Times New Roman"/>
          <w:sz w:val="28"/>
          <w:szCs w:val="28"/>
          <w:lang w:val="uk-UA"/>
        </w:rPr>
        <w:t>унікаційному середовищі області;</w:t>
      </w:r>
    </w:p>
    <w:p w:rsidR="007341CE" w:rsidRPr="005F5D43" w:rsidRDefault="007341CE" w:rsidP="007341C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організація та координація заходів з розвитку в регіоні ІТ-сектору, зокрема ІТ-кластеру.</w:t>
      </w:r>
    </w:p>
    <w:p w:rsidR="00CB02BB" w:rsidRPr="005F5D43" w:rsidRDefault="00CB02BB" w:rsidP="00207EEE">
      <w:pPr>
        <w:spacing w:before="60" w:after="120" w:line="240" w:lineRule="auto"/>
        <w:ind w:right="30" w:firstLine="709"/>
        <w:jc w:val="both"/>
        <w:rPr>
          <w:rFonts w:ascii="Times New Roman" w:eastAsia="Times New Roman" w:hAnsi="Times New Roman" w:cs="Times New Roman"/>
          <w:sz w:val="20"/>
          <w:szCs w:val="20"/>
          <w:lang w:val="uk-UA"/>
        </w:rPr>
      </w:pPr>
    </w:p>
    <w:p w:rsidR="0006002A" w:rsidRPr="005F5D43"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5F5D43">
        <w:rPr>
          <w:rFonts w:ascii="Times New Roman" w:eastAsia="Times New Roman" w:hAnsi="Times New Roman" w:cs="Times New Roman"/>
          <w:sz w:val="10"/>
          <w:szCs w:val="10"/>
          <w:lang w:val="uk-UA"/>
        </w:rPr>
        <w:t xml:space="preserve"> </w:t>
      </w:r>
      <w:r w:rsidRPr="005F5D43">
        <w:rPr>
          <w:rFonts w:ascii="Times New Roman" w:eastAsia="Times New Roman" w:hAnsi="Times New Roman" w:cs="Times New Roman"/>
          <w:b/>
          <w:sz w:val="28"/>
          <w:szCs w:val="28"/>
          <w:lang w:val="uk-UA"/>
        </w:rPr>
        <w:t>3. Зміцнення обороноздатності держави та регіону: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готовності органів виконавчої влади і органів місцевого самоврядування області, штабів територіальної оборони до захисту території області спільно із Збройними Силами України та іншими військовими формуваннями, підготовка населення до участі у національному спротиві;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забезпечення виконання законодавства про військовий обов’язок  посадовими особами і громадянами, підприємствами, установами і організаціями, завдань із мобілізації та мобілізаційної підготовки, масштабувати роботу щодо створення мережі </w:t>
      </w:r>
      <w:proofErr w:type="spellStart"/>
      <w:r w:rsidRPr="005F5D43">
        <w:rPr>
          <w:rFonts w:ascii="Times New Roman" w:eastAsia="Times New Roman" w:hAnsi="Times New Roman" w:cs="Times New Roman"/>
          <w:sz w:val="28"/>
          <w:szCs w:val="28"/>
          <w:lang w:val="uk-UA"/>
        </w:rPr>
        <w:t>рекрутингових</w:t>
      </w:r>
      <w:proofErr w:type="spellEnd"/>
      <w:r w:rsidRPr="005F5D43">
        <w:rPr>
          <w:rFonts w:ascii="Times New Roman" w:eastAsia="Times New Roman" w:hAnsi="Times New Roman" w:cs="Times New Roman"/>
          <w:sz w:val="28"/>
          <w:szCs w:val="28"/>
          <w:lang w:val="uk-UA"/>
        </w:rPr>
        <w:t xml:space="preserve"> центрів до Збройних Сил України на території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надання фінансової допомоги (субвенції на виконання програм соціально-економічного розвитку регіонів) для військових частин Збройних Сил України та інших складових сил сектору безпеки та оборони;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організація шефської допомоги та сприяння волонтерській допомозі військовим частинам, військовим навчальним закладам, установам та організаціям Збройних Сил України та іншим військовим формуванням;</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налагодження ефективної співпраці органів виконавчої влади та органів місцевого самоврядування з правоохоронними органами в питаннях охорони громадськ</w:t>
      </w:r>
      <w:r w:rsidR="00B147CB">
        <w:rPr>
          <w:rFonts w:ascii="Times New Roman" w:eastAsia="Times New Roman" w:hAnsi="Times New Roman" w:cs="Times New Roman"/>
          <w:sz w:val="28"/>
          <w:szCs w:val="28"/>
          <w:lang w:val="uk-UA"/>
        </w:rPr>
        <w:t>ої</w:t>
      </w:r>
      <w:r w:rsidRPr="005F5D43">
        <w:rPr>
          <w:rFonts w:ascii="Times New Roman" w:eastAsia="Times New Roman" w:hAnsi="Times New Roman" w:cs="Times New Roman"/>
          <w:sz w:val="28"/>
          <w:szCs w:val="28"/>
          <w:lang w:val="uk-UA"/>
        </w:rPr>
        <w:t xml:space="preserve"> безпеки та </w:t>
      </w:r>
      <w:r w:rsidR="00B147CB">
        <w:rPr>
          <w:rFonts w:ascii="Times New Roman" w:eastAsia="Times New Roman" w:hAnsi="Times New Roman" w:cs="Times New Roman"/>
          <w:sz w:val="28"/>
          <w:szCs w:val="28"/>
          <w:lang w:val="uk-UA"/>
        </w:rPr>
        <w:t xml:space="preserve">громадського </w:t>
      </w:r>
      <w:r w:rsidRPr="005F5D43">
        <w:rPr>
          <w:rFonts w:ascii="Times New Roman" w:eastAsia="Times New Roman" w:hAnsi="Times New Roman" w:cs="Times New Roman"/>
          <w:sz w:val="28"/>
          <w:szCs w:val="28"/>
          <w:lang w:val="uk-UA"/>
        </w:rPr>
        <w:t>порядку, протидії розповсюдження наркоманії, профілактики та запобігання підліткової злочинності, запобігання злочинності у сфері економіки, протидії корупції, формування правосвідомості громадян;</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у реалізації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спрямованих на розбудову та розвиток інфраструктури прикордонних територій в умовах воєнного стану;</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моніторингу ситуації  на важливих об'єктах населених пунктів області,  посилення безпеки дорожнього руху, у тому числі шляхом впровадження систем відеоспостереження.</w:t>
      </w:r>
    </w:p>
    <w:p w:rsidR="00CB02BB" w:rsidRPr="005F5D43" w:rsidRDefault="00CB02BB" w:rsidP="00207EEE">
      <w:pPr>
        <w:spacing w:before="60" w:after="120" w:line="240" w:lineRule="auto"/>
        <w:ind w:right="30" w:firstLine="709"/>
        <w:jc w:val="both"/>
        <w:rPr>
          <w:rFonts w:ascii="Times New Roman" w:eastAsia="Times New Roman" w:hAnsi="Times New Roman" w:cs="Times New Roman"/>
          <w:sz w:val="20"/>
          <w:szCs w:val="20"/>
          <w:lang w:val="uk-UA"/>
        </w:rPr>
      </w:pPr>
    </w:p>
    <w:p w:rsidR="0006002A" w:rsidRPr="005F5D43"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5F5D43">
        <w:rPr>
          <w:rFonts w:ascii="Times New Roman" w:eastAsia="Times New Roman" w:hAnsi="Times New Roman" w:cs="Times New Roman"/>
          <w:b/>
          <w:sz w:val="28"/>
          <w:szCs w:val="28"/>
          <w:lang w:val="uk-UA"/>
        </w:rPr>
        <w:t>4. Забезпечення стабільної роботи соціальної сфери:</w:t>
      </w:r>
    </w:p>
    <w:p w:rsidR="00CB02BB" w:rsidRPr="005F5D43" w:rsidRDefault="00CB02BB" w:rsidP="00207EEE">
      <w:pPr>
        <w:spacing w:before="60" w:after="120" w:line="240" w:lineRule="auto"/>
        <w:ind w:right="30" w:firstLine="709"/>
        <w:jc w:val="both"/>
        <w:rPr>
          <w:rFonts w:ascii="Times New Roman" w:eastAsia="Times New Roman" w:hAnsi="Times New Roman" w:cs="Times New Roman"/>
          <w:b/>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4.1. Освіта</w:t>
      </w:r>
      <w:r w:rsidR="00833316" w:rsidRPr="00B147CB">
        <w:rPr>
          <w:rFonts w:ascii="Times New Roman" w:eastAsia="Times New Roman" w:hAnsi="Times New Roman" w:cs="Times New Roman"/>
          <w:b/>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забезпечення рівного доступу до якісної дошкільної, позашкільної, загальної середньої, професійної (професійно-технічної), фахової </w:t>
      </w:r>
      <w:proofErr w:type="spellStart"/>
      <w:r w:rsidRPr="005F5D43">
        <w:rPr>
          <w:rFonts w:ascii="Times New Roman" w:eastAsia="Times New Roman" w:hAnsi="Times New Roman" w:cs="Times New Roman"/>
          <w:sz w:val="28"/>
          <w:szCs w:val="28"/>
          <w:lang w:val="uk-UA"/>
        </w:rPr>
        <w:t>передвищої</w:t>
      </w:r>
      <w:proofErr w:type="spellEnd"/>
      <w:r w:rsidRPr="005F5D43">
        <w:rPr>
          <w:rFonts w:ascii="Times New Roman" w:eastAsia="Times New Roman" w:hAnsi="Times New Roman" w:cs="Times New Roman"/>
          <w:sz w:val="28"/>
          <w:szCs w:val="28"/>
          <w:lang w:val="uk-UA"/>
        </w:rPr>
        <w:t xml:space="preserve"> т</w:t>
      </w:r>
      <w:r w:rsidR="00B147CB">
        <w:rPr>
          <w:rFonts w:ascii="Times New Roman" w:eastAsia="Times New Roman" w:hAnsi="Times New Roman" w:cs="Times New Roman"/>
          <w:sz w:val="28"/>
          <w:szCs w:val="28"/>
          <w:lang w:val="uk-UA"/>
        </w:rPr>
        <w:t>а вищої освіти жителів регіону;</w:t>
      </w:r>
    </w:p>
    <w:p w:rsidR="00A974A9"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доступу до якісної освіти дітей з особливими освітніми потребами</w:t>
      </w:r>
      <w:r w:rsidR="00A974A9" w:rsidRPr="005F5D43">
        <w:rPr>
          <w:rFonts w:ascii="Times New Roman" w:eastAsia="Times New Roman" w:hAnsi="Times New Roman" w:cs="Times New Roman"/>
          <w:sz w:val="28"/>
          <w:szCs w:val="28"/>
          <w:lang w:val="uk-UA"/>
        </w:rPr>
        <w:t>,</w:t>
      </w:r>
      <w:r w:rsidRPr="005F5D43">
        <w:rPr>
          <w:rFonts w:ascii="Times New Roman" w:eastAsia="Times New Roman" w:hAnsi="Times New Roman" w:cs="Times New Roman"/>
          <w:sz w:val="28"/>
          <w:szCs w:val="28"/>
          <w:lang w:val="uk-UA"/>
        </w:rPr>
        <w:t xml:space="preserve"> надання спектру додаткових послуг, </w:t>
      </w:r>
      <w:r w:rsidR="00A974A9" w:rsidRPr="005F5D43">
        <w:rPr>
          <w:rFonts w:ascii="Times New Roman" w:eastAsia="Times New Roman" w:hAnsi="Times New Roman" w:cs="Times New Roman"/>
          <w:sz w:val="28"/>
          <w:szCs w:val="28"/>
          <w:lang w:val="uk-UA"/>
        </w:rPr>
        <w:t>що забезпечує підтримку дитини в освітньому просторі;</w:t>
      </w:r>
    </w:p>
    <w:p w:rsidR="00BF116B" w:rsidRPr="005F5D43" w:rsidRDefault="00BF116B"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регулярного безкоштовного підвезення дітей (у тому числі спеціальним транспортом) до закладів загальної середньої та дошкільної освіти;</w:t>
      </w:r>
    </w:p>
    <w:p w:rsidR="00BF116B" w:rsidRPr="005F5D43" w:rsidRDefault="00BF116B" w:rsidP="00BF116B">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запровадження різних форм сучасних методів та технологій організації освітнього процесу (зокрема, дуальної освіти та новітніх інформаційно-комунікаційних технологій), організації ефективного дистанційного навчання;</w:t>
      </w:r>
    </w:p>
    <w:p w:rsidR="00A974A9" w:rsidRPr="005F5D43" w:rsidRDefault="00F121E4"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підготовки та перепідготовки кадрів до реальних потреб регіонального ринку праці, </w:t>
      </w:r>
      <w:r w:rsidR="00E07FE3" w:rsidRPr="005F5D43">
        <w:rPr>
          <w:rFonts w:ascii="Times New Roman" w:eastAsia="Times New Roman" w:hAnsi="Times New Roman" w:cs="Times New Roman"/>
          <w:sz w:val="28"/>
          <w:szCs w:val="28"/>
          <w:lang w:val="uk-UA"/>
        </w:rPr>
        <w:t>створення навчально-практичних центрів на базі закладів професійної (професійно-технічної) освіти в рамках координаційної платформи «</w:t>
      </w:r>
      <w:proofErr w:type="spellStart"/>
      <w:r w:rsidR="00E07FE3" w:rsidRPr="005F5D43">
        <w:rPr>
          <w:rFonts w:ascii="Times New Roman" w:eastAsia="Times New Roman" w:hAnsi="Times New Roman" w:cs="Times New Roman"/>
          <w:sz w:val="28"/>
          <w:szCs w:val="28"/>
          <w:lang w:val="uk-UA"/>
        </w:rPr>
        <w:t>Rivne</w:t>
      </w:r>
      <w:proofErr w:type="spellEnd"/>
      <w:r w:rsidR="00E07FE3" w:rsidRPr="005F5D43">
        <w:rPr>
          <w:rFonts w:ascii="Times New Roman" w:eastAsia="Times New Roman" w:hAnsi="Times New Roman" w:cs="Times New Roman"/>
          <w:sz w:val="28"/>
          <w:szCs w:val="28"/>
          <w:lang w:val="uk-UA"/>
        </w:rPr>
        <w:t xml:space="preserve"> </w:t>
      </w:r>
      <w:proofErr w:type="spellStart"/>
      <w:r w:rsidR="00E07FE3" w:rsidRPr="005F5D43">
        <w:rPr>
          <w:rFonts w:ascii="Times New Roman" w:eastAsia="Times New Roman" w:hAnsi="Times New Roman" w:cs="Times New Roman"/>
          <w:sz w:val="28"/>
          <w:szCs w:val="28"/>
          <w:lang w:val="uk-UA"/>
        </w:rPr>
        <w:t>work</w:t>
      </w:r>
      <w:proofErr w:type="spellEnd"/>
      <w:r w:rsidR="00E07FE3" w:rsidRPr="005F5D43">
        <w:rPr>
          <w:rFonts w:ascii="Times New Roman" w:eastAsia="Times New Roman" w:hAnsi="Times New Roman" w:cs="Times New Roman"/>
          <w:sz w:val="28"/>
          <w:szCs w:val="28"/>
          <w:lang w:val="uk-UA"/>
        </w:rPr>
        <w:t xml:space="preserve"> </w:t>
      </w:r>
      <w:proofErr w:type="spellStart"/>
      <w:r w:rsidR="00E07FE3" w:rsidRPr="005F5D43">
        <w:rPr>
          <w:rFonts w:ascii="Times New Roman" w:eastAsia="Times New Roman" w:hAnsi="Times New Roman" w:cs="Times New Roman"/>
          <w:sz w:val="28"/>
          <w:szCs w:val="28"/>
          <w:lang w:val="uk-UA"/>
        </w:rPr>
        <w:t>hub</w:t>
      </w:r>
      <w:proofErr w:type="spellEnd"/>
      <w:r w:rsidR="00E07FE3" w:rsidRPr="005F5D43">
        <w:rPr>
          <w:rFonts w:ascii="Times New Roman" w:eastAsia="Times New Roman" w:hAnsi="Times New Roman" w:cs="Times New Roman"/>
          <w:sz w:val="28"/>
          <w:szCs w:val="28"/>
          <w:lang w:val="uk-UA"/>
        </w:rPr>
        <w:t>»</w:t>
      </w:r>
      <w:r w:rsidR="00BD48AF" w:rsidRPr="005F5D43">
        <w:rPr>
          <w:rFonts w:ascii="Times New Roman" w:eastAsia="Times New Roman" w:hAnsi="Times New Roman" w:cs="Times New Roman"/>
          <w:sz w:val="28"/>
          <w:szCs w:val="28"/>
          <w:lang w:val="uk-UA"/>
        </w:rPr>
        <w:t>,</w:t>
      </w:r>
      <w:r w:rsidRPr="005F5D43">
        <w:rPr>
          <w:rFonts w:ascii="Times New Roman" w:eastAsia="Times New Roman" w:hAnsi="Times New Roman" w:cs="Times New Roman"/>
          <w:sz w:val="28"/>
          <w:szCs w:val="28"/>
          <w:lang w:val="uk-UA"/>
        </w:rPr>
        <w:t xml:space="preserve"> </w:t>
      </w:r>
      <w:r w:rsidR="00A974A9" w:rsidRPr="005F5D43">
        <w:rPr>
          <w:rFonts w:ascii="Times New Roman" w:eastAsia="Times New Roman" w:hAnsi="Times New Roman" w:cs="Times New Roman"/>
          <w:sz w:val="28"/>
          <w:szCs w:val="28"/>
          <w:lang w:val="uk-UA"/>
        </w:rPr>
        <w:t xml:space="preserve">створення Центру професійної досконалості в рамках </w:t>
      </w:r>
      <w:proofErr w:type="spellStart"/>
      <w:r w:rsidR="00A974A9" w:rsidRPr="005F5D43">
        <w:rPr>
          <w:rFonts w:ascii="Times New Roman" w:eastAsia="Times New Roman" w:hAnsi="Times New Roman" w:cs="Times New Roman"/>
          <w:sz w:val="28"/>
          <w:szCs w:val="28"/>
          <w:lang w:val="uk-UA"/>
        </w:rPr>
        <w:t>проєкту</w:t>
      </w:r>
      <w:proofErr w:type="spellEnd"/>
      <w:r w:rsidR="00A974A9" w:rsidRPr="005F5D43">
        <w:rPr>
          <w:rFonts w:ascii="Times New Roman" w:eastAsia="Times New Roman" w:hAnsi="Times New Roman" w:cs="Times New Roman"/>
          <w:sz w:val="28"/>
          <w:szCs w:val="28"/>
          <w:lang w:val="uk-UA"/>
        </w:rPr>
        <w:t xml:space="preserve"> «Професійна освіта та навчання у Східному партнерстві»;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модернізація матеріально-технічної бази закладів освіти усіх рівнів з метою створення їх безпечного, комфортного та  сучасного освітнього простору.</w:t>
      </w:r>
    </w:p>
    <w:p w:rsidR="0006002A" w:rsidRPr="005F5D43" w:rsidRDefault="0006002A" w:rsidP="00207EEE">
      <w:pPr>
        <w:spacing w:before="60" w:after="120" w:line="240" w:lineRule="auto"/>
        <w:ind w:right="30" w:firstLine="709"/>
        <w:jc w:val="both"/>
        <w:rPr>
          <w:rFonts w:ascii="Times New Roman" w:eastAsia="Times New Roman" w:hAnsi="Times New Roman" w:cs="Times New Roman"/>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lastRenderedPageBreak/>
        <w:t>4.2. Охорона здоров’я: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якості та доступності медичних послуг населенню на первинному, вторинному та третинному рівнях;</w:t>
      </w:r>
    </w:p>
    <w:p w:rsidR="0006002A" w:rsidRPr="005F5D43" w:rsidRDefault="00A81A79" w:rsidP="00E07FE3">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організація спроможної мережі кластерних та </w:t>
      </w:r>
      <w:proofErr w:type="spellStart"/>
      <w:r w:rsidRPr="005F5D43">
        <w:rPr>
          <w:rFonts w:ascii="Times New Roman" w:eastAsia="Times New Roman" w:hAnsi="Times New Roman" w:cs="Times New Roman"/>
          <w:sz w:val="28"/>
          <w:szCs w:val="28"/>
          <w:lang w:val="uk-UA"/>
        </w:rPr>
        <w:t>надкластерних</w:t>
      </w:r>
      <w:proofErr w:type="spellEnd"/>
      <w:r w:rsidRPr="005F5D43">
        <w:rPr>
          <w:rFonts w:ascii="Times New Roman" w:eastAsia="Times New Roman" w:hAnsi="Times New Roman" w:cs="Times New Roman"/>
          <w:sz w:val="28"/>
          <w:szCs w:val="28"/>
          <w:lang w:val="uk-UA"/>
        </w:rPr>
        <w:t xml:space="preserve"> закладів охорони здоров’я, зокрема із створенням реабілітаційних відділень</w:t>
      </w:r>
      <w:r w:rsidR="00E07FE3" w:rsidRPr="005F5D43">
        <w:rPr>
          <w:lang w:val="uk-UA"/>
        </w:rPr>
        <w:t xml:space="preserve"> </w:t>
      </w:r>
      <w:r w:rsidR="00E07FE3" w:rsidRPr="005F5D43">
        <w:rPr>
          <w:rFonts w:ascii="Times New Roman" w:hAnsi="Times New Roman" w:cs="Times New Roman"/>
          <w:sz w:val="28"/>
          <w:szCs w:val="28"/>
          <w:lang w:val="uk-UA"/>
        </w:rPr>
        <w:t>(б</w:t>
      </w:r>
      <w:r w:rsidR="00E07FE3" w:rsidRPr="005F5D43">
        <w:rPr>
          <w:rFonts w:ascii="Times New Roman" w:eastAsia="Times New Roman" w:hAnsi="Times New Roman" w:cs="Times New Roman"/>
          <w:sz w:val="28"/>
          <w:szCs w:val="28"/>
          <w:lang w:val="uk-UA"/>
        </w:rPr>
        <w:t>удівництво лікувально-реабілітаційного корпусу для ветеранів війни та внутрішньо переміщених осіб на базі КП «Рівненський обласний госпіталь ветеранів війни» Рівненської обласної ради)</w:t>
      </w:r>
      <w:r w:rsidRPr="005F5D43">
        <w:rPr>
          <w:rFonts w:ascii="Times New Roman" w:eastAsia="Times New Roman" w:hAnsi="Times New Roman" w:cs="Times New Roman"/>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доступу до необхідних медичних послуг, лікарських засобів та медичних виробів за програмою медичних гарантій;</w:t>
      </w:r>
    </w:p>
    <w:p w:rsidR="0006002A" w:rsidRPr="005F5D43" w:rsidRDefault="00A81A79" w:rsidP="00207EEE">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створення умов для профілактики інфекційних та неінфекційних </w:t>
      </w:r>
      <w:proofErr w:type="spellStart"/>
      <w:r w:rsidRPr="005F5D43">
        <w:rPr>
          <w:rFonts w:ascii="Times New Roman" w:eastAsia="Times New Roman" w:hAnsi="Times New Roman" w:cs="Times New Roman"/>
          <w:sz w:val="28"/>
          <w:szCs w:val="28"/>
          <w:lang w:val="uk-UA"/>
        </w:rPr>
        <w:t>хвороб</w:t>
      </w:r>
      <w:proofErr w:type="spellEnd"/>
      <w:r w:rsidRPr="005F5D43">
        <w:rPr>
          <w:rFonts w:ascii="Times New Roman" w:eastAsia="Times New Roman" w:hAnsi="Times New Roman" w:cs="Times New Roman"/>
          <w:sz w:val="28"/>
          <w:szCs w:val="28"/>
          <w:lang w:val="uk-UA"/>
        </w:rPr>
        <w:t>, забезпечення імунізації населення в територіальних громадах відповідно до Календаря профілактичних щеплень;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функціонування спроможної системи громадського здоров’я в регіоні та в територіальних громадах;</w:t>
      </w:r>
    </w:p>
    <w:p w:rsidR="0006002A" w:rsidRPr="005F5D43" w:rsidRDefault="00A81A79" w:rsidP="00207EEE">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покращення доступності послуг з охорони психічного здоров’я.</w:t>
      </w: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4.3. Соціальний захист населення</w:t>
      </w:r>
      <w:r w:rsidR="007341CE" w:rsidRPr="00B147CB">
        <w:rPr>
          <w:rFonts w:ascii="Times New Roman" w:eastAsia="Times New Roman" w:hAnsi="Times New Roman" w:cs="Times New Roman"/>
          <w:b/>
          <w:sz w:val="28"/>
          <w:szCs w:val="28"/>
          <w:lang w:val="uk-UA"/>
        </w:rPr>
        <w:t>, ветеранська політика</w:t>
      </w:r>
      <w:r w:rsidRPr="00B147CB">
        <w:rPr>
          <w:rFonts w:ascii="Times New Roman" w:eastAsia="Times New Roman" w:hAnsi="Times New Roman" w:cs="Times New Roman"/>
          <w:b/>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своєчасного та у повному обсязі надання населенню всіх видів соціальних допомог, компенсацій, субсидій та пільг, передбачених чинним законодавством, зокрема для Захисників та Захисниць України, членів їх сімей, членів сімей загиблих (померлих) Захисників та Захисниць, а також внутрішньо переміщених осіб, сімей з дітьми, осіб з інвалідністю;</w:t>
      </w:r>
    </w:p>
    <w:p w:rsidR="00414ED7" w:rsidRPr="005F5D43" w:rsidRDefault="00414ED7" w:rsidP="00414ED7">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реалізації в області державної ветеранської політики, створення умов для здійснення заходів з соціальної та професійної адаптації ветеранів та членів їх сімей;</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забезпечення житлом окремих пільгових категорій, зокрема внутрішньо переміщених осіб</w:t>
      </w:r>
      <w:r w:rsidR="004F1A1A" w:rsidRPr="005F5D43">
        <w:rPr>
          <w:rFonts w:ascii="Times New Roman" w:eastAsia="Times New Roman" w:hAnsi="Times New Roman" w:cs="Times New Roman"/>
          <w:sz w:val="28"/>
          <w:szCs w:val="28"/>
          <w:lang w:val="uk-UA"/>
        </w:rPr>
        <w:t>,</w:t>
      </w:r>
      <w:r w:rsidRPr="005F5D43">
        <w:rPr>
          <w:rFonts w:ascii="Times New Roman" w:eastAsia="Times New Roman" w:hAnsi="Times New Roman" w:cs="Times New Roman"/>
          <w:sz w:val="28"/>
          <w:szCs w:val="28"/>
          <w:lang w:val="uk-UA"/>
        </w:rPr>
        <w:t xml:space="preserve"> дітей-сиріт</w:t>
      </w:r>
      <w:r w:rsidR="004F1A1A" w:rsidRPr="005F5D43">
        <w:rPr>
          <w:rFonts w:ascii="Times New Roman" w:eastAsia="Times New Roman" w:hAnsi="Times New Roman" w:cs="Times New Roman"/>
          <w:sz w:val="28"/>
          <w:szCs w:val="28"/>
          <w:lang w:val="uk-UA"/>
        </w:rPr>
        <w:t>, ветеранів війни та членів їх сімей</w:t>
      </w:r>
      <w:r w:rsidRPr="005F5D43">
        <w:rPr>
          <w:rFonts w:ascii="Times New Roman" w:eastAsia="Times New Roman" w:hAnsi="Times New Roman" w:cs="Times New Roman"/>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організація належного матеріально-технічного забезпечення об’єктів соціального захисту населення, відновлення таких об’єктів, пошкоджених внаслідок агресії російської федерації, облаштування відповідних </w:t>
      </w:r>
      <w:proofErr w:type="spellStart"/>
      <w:r w:rsidRPr="005F5D43">
        <w:rPr>
          <w:rFonts w:ascii="Times New Roman" w:eastAsia="Times New Roman" w:hAnsi="Times New Roman" w:cs="Times New Roman"/>
          <w:sz w:val="28"/>
          <w:szCs w:val="28"/>
          <w:lang w:val="uk-UA"/>
        </w:rPr>
        <w:t>укриттів</w:t>
      </w:r>
      <w:proofErr w:type="spellEnd"/>
      <w:r w:rsidRPr="005F5D43">
        <w:rPr>
          <w:rFonts w:ascii="Times New Roman" w:eastAsia="Times New Roman" w:hAnsi="Times New Roman" w:cs="Times New Roman"/>
          <w:sz w:val="28"/>
          <w:szCs w:val="28"/>
          <w:lang w:val="uk-UA"/>
        </w:rPr>
        <w:t>;</w:t>
      </w:r>
    </w:p>
    <w:p w:rsidR="00443615" w:rsidRPr="005F5D43" w:rsidRDefault="00443615" w:rsidP="00443615">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сприяти створенню мережі центрів</w:t>
      </w:r>
      <w:r w:rsidR="000B1DAA" w:rsidRPr="005F5D43">
        <w:rPr>
          <w:rFonts w:ascii="Times New Roman" w:eastAsia="Times New Roman" w:hAnsi="Times New Roman" w:cs="Times New Roman"/>
          <w:sz w:val="28"/>
          <w:szCs w:val="28"/>
          <w:lang w:val="uk-UA"/>
        </w:rPr>
        <w:t xml:space="preserve"> життєстійкості з метою включення до активного суспільного життя вразливих верств населення, в тому числі внутрішньо переміщених осіб</w:t>
      </w:r>
      <w:r w:rsidRPr="005F5D43">
        <w:rPr>
          <w:rFonts w:ascii="Times New Roman" w:eastAsia="Times New Roman" w:hAnsi="Times New Roman" w:cs="Times New Roman"/>
          <w:sz w:val="28"/>
          <w:szCs w:val="28"/>
          <w:lang w:val="uk-UA"/>
        </w:rPr>
        <w:t>;</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запобігання та протидія домашньому насильству та насильству за ознакою статі;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протидія торгівлі людьми та надання допомоги постраждалим особам;</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розвитку сімейних та інших форм виховання дітей-сиріт та дітей, позбавлених батьківського піклування;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покращення стану забезпечення оздоровлення дітей та пільгових категорій населення;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розвитку системи соціального захисту населення у територіальних громадах;</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впровадження гендерних підходів в усіх сферах життєдіяльності.</w:t>
      </w:r>
    </w:p>
    <w:p w:rsidR="0006002A" w:rsidRPr="005F5D43" w:rsidRDefault="0006002A" w:rsidP="00207EEE">
      <w:pPr>
        <w:spacing w:before="60" w:after="120" w:line="240" w:lineRule="auto"/>
        <w:ind w:right="30" w:firstLine="709"/>
        <w:jc w:val="both"/>
        <w:rPr>
          <w:rFonts w:ascii="Times New Roman" w:eastAsia="Times New Roman" w:hAnsi="Times New Roman" w:cs="Times New Roman"/>
          <w:sz w:val="20"/>
          <w:szCs w:val="20"/>
          <w:lang w:val="uk-UA"/>
        </w:rPr>
      </w:pPr>
    </w:p>
    <w:p w:rsidR="0006002A" w:rsidRPr="00B147CB"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B147CB">
        <w:rPr>
          <w:rFonts w:ascii="Times New Roman" w:eastAsia="Times New Roman" w:hAnsi="Times New Roman" w:cs="Times New Roman"/>
          <w:b/>
          <w:sz w:val="28"/>
          <w:szCs w:val="28"/>
          <w:lang w:val="uk-UA"/>
        </w:rPr>
        <w:t>4.4. Культура, фізична культура та спорт:</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формування ефективної мережі закладів культури і мистецтва для надання якісних культурних послуг відповідно до потреб населення;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активізація роботи із складання обласного переліку елементів нематеріальної культурної спадщини та роботи з </w:t>
      </w:r>
      <w:proofErr w:type="spellStart"/>
      <w:r w:rsidRPr="005F5D43">
        <w:rPr>
          <w:rFonts w:ascii="Times New Roman" w:eastAsia="Times New Roman" w:hAnsi="Times New Roman" w:cs="Times New Roman"/>
          <w:sz w:val="28"/>
          <w:szCs w:val="28"/>
          <w:lang w:val="uk-UA"/>
        </w:rPr>
        <w:t>номінування</w:t>
      </w:r>
      <w:proofErr w:type="spellEnd"/>
      <w:r w:rsidRPr="005F5D43">
        <w:rPr>
          <w:rFonts w:ascii="Times New Roman" w:eastAsia="Times New Roman" w:hAnsi="Times New Roman" w:cs="Times New Roman"/>
          <w:sz w:val="28"/>
          <w:szCs w:val="28"/>
          <w:lang w:val="uk-UA"/>
        </w:rPr>
        <w:t xml:space="preserve"> елементів до національного переліку та всесвітньої спадщини ЮНЕСКО;</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розвиток туристично-рекреаційного потенціалу на територіях національних природних парків області; </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популяризація туристичного потенціалу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сприяння </w:t>
      </w:r>
      <w:proofErr w:type="spellStart"/>
      <w:r w:rsidRPr="005F5D43">
        <w:rPr>
          <w:rFonts w:ascii="Times New Roman" w:eastAsia="Times New Roman" w:hAnsi="Times New Roman" w:cs="Times New Roman"/>
          <w:sz w:val="28"/>
          <w:szCs w:val="28"/>
          <w:lang w:val="uk-UA"/>
        </w:rPr>
        <w:t>цифровізації</w:t>
      </w:r>
      <w:proofErr w:type="spellEnd"/>
      <w:r w:rsidRPr="005F5D43">
        <w:rPr>
          <w:rFonts w:ascii="Times New Roman" w:eastAsia="Times New Roman" w:hAnsi="Times New Roman" w:cs="Times New Roman"/>
          <w:sz w:val="28"/>
          <w:szCs w:val="28"/>
          <w:lang w:val="uk-UA"/>
        </w:rPr>
        <w:t xml:space="preserve"> об’єктів туристичних відвідувань;</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забезпечення реалізації соціального </w:t>
      </w:r>
      <w:proofErr w:type="spellStart"/>
      <w:r w:rsidRPr="005F5D43">
        <w:rPr>
          <w:rFonts w:ascii="Times New Roman" w:eastAsia="Times New Roman" w:hAnsi="Times New Roman" w:cs="Times New Roman"/>
          <w:sz w:val="28"/>
          <w:szCs w:val="28"/>
          <w:lang w:val="uk-UA"/>
        </w:rPr>
        <w:t>проєкту</w:t>
      </w:r>
      <w:proofErr w:type="spellEnd"/>
      <w:r w:rsidRPr="005F5D43">
        <w:rPr>
          <w:rFonts w:ascii="Times New Roman" w:eastAsia="Times New Roman" w:hAnsi="Times New Roman" w:cs="Times New Roman"/>
          <w:sz w:val="28"/>
          <w:szCs w:val="28"/>
          <w:lang w:val="uk-UA"/>
        </w:rPr>
        <w:t xml:space="preserve"> «Активні парки – локації здорової України» в області;</w:t>
      </w:r>
    </w:p>
    <w:p w:rsidR="00414ED7" w:rsidRPr="005F5D43" w:rsidRDefault="00414ED7" w:rsidP="00414ED7">
      <w:pPr>
        <w:shd w:val="clear" w:color="auto" w:fill="FFFFFF"/>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покращення матеріально-технічної бази закладів, які здійснюють фізкультурно-спортивну реабілітацію ветеранів війни та розвивають адаптований спорт;</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10"/>
          <w:szCs w:val="10"/>
          <w:lang w:val="uk-UA"/>
        </w:rPr>
        <w:t xml:space="preserve"> </w:t>
      </w:r>
      <w:r w:rsidRPr="005F5D43">
        <w:rPr>
          <w:rFonts w:ascii="Times New Roman" w:eastAsia="Times New Roman" w:hAnsi="Times New Roman" w:cs="Times New Roman"/>
          <w:sz w:val="28"/>
          <w:szCs w:val="28"/>
          <w:lang w:val="uk-UA"/>
        </w:rPr>
        <w:t>забезпечення проведення обласних змагань та участь спортсменів області, у тому числі ветеранів війни, у всеукраїнських фізкультурно-оздоровчих, спортивних заходах та спортивних змаганнях з видів спорту, що визнані в Україні.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0"/>
          <w:szCs w:val="20"/>
          <w:lang w:val="uk-UA"/>
        </w:rPr>
      </w:pPr>
      <w:r w:rsidRPr="005F5D43">
        <w:rPr>
          <w:rFonts w:ascii="Times New Roman" w:eastAsia="Times New Roman" w:hAnsi="Times New Roman" w:cs="Times New Roman"/>
          <w:sz w:val="10"/>
          <w:szCs w:val="10"/>
          <w:lang w:val="uk-UA"/>
        </w:rPr>
        <w:t xml:space="preserve">  </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b/>
          <w:sz w:val="28"/>
          <w:szCs w:val="28"/>
          <w:lang w:val="uk-UA"/>
        </w:rPr>
      </w:pPr>
      <w:r w:rsidRPr="005F5D43">
        <w:rPr>
          <w:rFonts w:ascii="Times New Roman" w:eastAsia="Times New Roman" w:hAnsi="Times New Roman" w:cs="Times New Roman"/>
          <w:b/>
          <w:sz w:val="28"/>
          <w:szCs w:val="28"/>
          <w:lang w:val="uk-UA"/>
        </w:rPr>
        <w:t>5. Сприяння розвитку територіальних громад області та підвищення рівня їх фінансової спроможності: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надання територіальним громадам необхідної інформаційно-консультативної підтримки в питаннях розроблення стратегій, програм та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розвитку громад, пошуку джерел фінансування цих стратегій, програм та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зокрема, коштів державного та місцевих бюджетів, міжнародної технічної допомоги, міжнародних фінансових організацій, приватних інвесторів; сприяння участі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та програм територіальних громад у відповідних конкурсах на отримання їх фінансування;</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організація та проведення щорічного обласного конкурсу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розвитку територіальних громад області;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lastRenderedPageBreak/>
        <w:t>здійснення першочергових заходів щодо безпеки життєдіяльності, відновлення та стимулювання економічної активності в територіальних громадах;</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у забезпеченні наповнення дохідної частини бюджетів громад, пошуку додаткових резервів цих надходжень, оптимізації бюджетних видатків;</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надання зручних і доступних сервісів для суб’єктів господарювання, забезпечення цифрової взаємодії з платниками податків;</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налагодження професійного та партнерського діалогу із суб’єктами господарювання - платниками податків з метою підвищення рівня добровільної сплати податків та платежів, погашення податкового боргу, упередження формування та розповсюдження схемного податкового кредиту по ланцюгу постачання до реального сектору економіки;</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підтримка реалізації </w:t>
      </w:r>
      <w:proofErr w:type="spellStart"/>
      <w:r w:rsidRPr="005F5D43">
        <w:rPr>
          <w:rFonts w:ascii="Times New Roman" w:eastAsia="Times New Roman" w:hAnsi="Times New Roman" w:cs="Times New Roman"/>
          <w:sz w:val="28"/>
          <w:szCs w:val="28"/>
          <w:lang w:val="uk-UA"/>
        </w:rPr>
        <w:t>проєктів</w:t>
      </w:r>
      <w:proofErr w:type="spellEnd"/>
      <w:r w:rsidRPr="005F5D43">
        <w:rPr>
          <w:rFonts w:ascii="Times New Roman" w:eastAsia="Times New Roman" w:hAnsi="Times New Roman" w:cs="Times New Roman"/>
          <w:sz w:val="28"/>
          <w:szCs w:val="28"/>
          <w:lang w:val="uk-UA"/>
        </w:rPr>
        <w:t xml:space="preserve"> розвитку територіальних громад у ключових секторах економіки, зокрема як </w:t>
      </w:r>
      <w:r w:rsidR="006D2DA1" w:rsidRPr="005F5D43">
        <w:rPr>
          <w:rFonts w:ascii="Times New Roman" w:eastAsia="Times New Roman" w:hAnsi="Times New Roman" w:cs="Times New Roman"/>
          <w:sz w:val="28"/>
          <w:szCs w:val="28"/>
          <w:lang w:val="uk-UA"/>
        </w:rPr>
        <w:t xml:space="preserve">альтернативна </w:t>
      </w:r>
      <w:r w:rsidRPr="005F5D43">
        <w:rPr>
          <w:rFonts w:ascii="Times New Roman" w:eastAsia="Times New Roman" w:hAnsi="Times New Roman" w:cs="Times New Roman"/>
          <w:sz w:val="28"/>
          <w:szCs w:val="28"/>
          <w:lang w:val="uk-UA"/>
        </w:rPr>
        <w:t>енергетика</w:t>
      </w:r>
      <w:r w:rsidR="006D2DA1" w:rsidRPr="005F5D43">
        <w:rPr>
          <w:rFonts w:ascii="Times New Roman" w:eastAsia="Times New Roman" w:hAnsi="Times New Roman" w:cs="Times New Roman"/>
          <w:sz w:val="28"/>
          <w:szCs w:val="28"/>
          <w:lang w:val="uk-UA"/>
        </w:rPr>
        <w:t xml:space="preserve"> та енергетична безпека</w:t>
      </w:r>
      <w:r w:rsidRPr="005F5D43">
        <w:rPr>
          <w:rFonts w:ascii="Times New Roman" w:eastAsia="Times New Roman" w:hAnsi="Times New Roman" w:cs="Times New Roman"/>
          <w:sz w:val="28"/>
          <w:szCs w:val="28"/>
          <w:lang w:val="uk-UA"/>
        </w:rPr>
        <w:t>, переробка аграрної продукції, транспорт та експортна логістика;</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активному залученню громад до відповідних цільових програм, спрямованих на підтримку українського виробника в рамках програми «Зроблено в Україні»;</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налагодженню міжнародного, міжрегіонального та міжмуніципального співробітництва територіальних громад в економічній, соціальній та культурній сферах, впровадженню кращих практик країн ЄС.</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сприяння актуалізації містобудівної документації;</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36"/>
          <w:szCs w:val="36"/>
          <w:lang w:val="uk-UA"/>
        </w:rPr>
      </w:pPr>
      <w:r w:rsidRPr="005F5D43">
        <w:rPr>
          <w:rFonts w:ascii="Times New Roman" w:eastAsia="Times New Roman" w:hAnsi="Times New Roman" w:cs="Times New Roman"/>
          <w:sz w:val="28"/>
          <w:szCs w:val="28"/>
          <w:lang w:val="uk-UA"/>
        </w:rPr>
        <w:t>сприяння розвитку інфраструктури громадського транспорту та велосипедної інфраструктури в територіальних громадах;</w:t>
      </w:r>
    </w:p>
    <w:p w:rsidR="0006002A" w:rsidRPr="005F5D43" w:rsidRDefault="00A81A79" w:rsidP="00207EEE">
      <w:pPr>
        <w:spacing w:before="60" w:after="120" w:line="240" w:lineRule="auto"/>
        <w:ind w:right="30" w:firstLine="709"/>
        <w:jc w:val="both"/>
        <w:rPr>
          <w:rFonts w:ascii="Times New Roman" w:eastAsia="Times New Roman" w:hAnsi="Times New Roman" w:cs="Times New Roman"/>
          <w:sz w:val="28"/>
          <w:szCs w:val="28"/>
          <w:lang w:val="uk-UA"/>
        </w:rPr>
      </w:pPr>
      <w:r w:rsidRPr="005F5D43">
        <w:rPr>
          <w:rFonts w:ascii="Times New Roman" w:eastAsia="Times New Roman" w:hAnsi="Times New Roman" w:cs="Times New Roman"/>
          <w:sz w:val="28"/>
          <w:szCs w:val="28"/>
          <w:lang w:val="uk-UA"/>
        </w:rPr>
        <w:t xml:space="preserve">надання територіальним громадам області необхідної інформаційно-консультативної та організаційної підтримки з питань безпеки громад в умовах воєнного стану, сприяння створенню та функціонуванню центрів безпеки, а також підрозділів місцевої та добровільної пожежної охорони, реалізація </w:t>
      </w:r>
      <w:proofErr w:type="spellStart"/>
      <w:r w:rsidRPr="005F5D43">
        <w:rPr>
          <w:rFonts w:ascii="Times New Roman" w:eastAsia="Times New Roman" w:hAnsi="Times New Roman" w:cs="Times New Roman"/>
          <w:sz w:val="28"/>
          <w:szCs w:val="28"/>
          <w:lang w:val="uk-UA"/>
        </w:rPr>
        <w:t>проєкт</w:t>
      </w:r>
      <w:r w:rsidR="003E7136" w:rsidRPr="005F5D43">
        <w:rPr>
          <w:rFonts w:ascii="Times New Roman" w:eastAsia="Times New Roman" w:hAnsi="Times New Roman" w:cs="Times New Roman"/>
          <w:sz w:val="28"/>
          <w:szCs w:val="28"/>
          <w:lang w:val="uk-UA"/>
        </w:rPr>
        <w:t>ів</w:t>
      </w:r>
      <w:proofErr w:type="spellEnd"/>
      <w:r w:rsidR="003E7136" w:rsidRPr="005F5D43">
        <w:rPr>
          <w:rFonts w:ascii="Times New Roman" w:eastAsia="Times New Roman" w:hAnsi="Times New Roman" w:cs="Times New Roman"/>
          <w:sz w:val="28"/>
          <w:szCs w:val="28"/>
          <w:lang w:val="uk-UA"/>
        </w:rPr>
        <w:t xml:space="preserve"> «Служба освітньої безпеки», «Поліцейський офіцер громади»</w:t>
      </w:r>
      <w:r w:rsidRPr="005F5D43">
        <w:rPr>
          <w:rFonts w:ascii="Times New Roman" w:eastAsia="Times New Roman" w:hAnsi="Times New Roman" w:cs="Times New Roman"/>
          <w:sz w:val="28"/>
          <w:szCs w:val="28"/>
          <w:lang w:val="uk-UA"/>
        </w:rPr>
        <w:t>.</w:t>
      </w:r>
    </w:p>
    <w:p w:rsidR="0006002A" w:rsidRPr="005F5D43" w:rsidRDefault="0006002A" w:rsidP="00207EEE">
      <w:pPr>
        <w:spacing w:before="60" w:after="120" w:line="240" w:lineRule="auto"/>
        <w:ind w:right="30" w:firstLine="709"/>
        <w:rPr>
          <w:rFonts w:ascii="Times New Roman" w:eastAsia="Times New Roman" w:hAnsi="Times New Roman" w:cs="Times New Roman"/>
          <w:lang w:val="uk-UA"/>
        </w:rPr>
      </w:pPr>
    </w:p>
    <w:p w:rsidR="0006002A" w:rsidRPr="005F5D43" w:rsidRDefault="0006002A" w:rsidP="00207EEE">
      <w:pPr>
        <w:spacing w:before="60" w:after="120" w:line="240" w:lineRule="auto"/>
        <w:ind w:right="30" w:firstLine="709"/>
        <w:rPr>
          <w:rFonts w:ascii="Times New Roman" w:eastAsia="Times New Roman" w:hAnsi="Times New Roman" w:cs="Times New Roman"/>
          <w:lang w:val="uk-UA"/>
        </w:rPr>
      </w:pPr>
    </w:p>
    <w:p w:rsidR="0009001B" w:rsidRPr="005F5D43" w:rsidRDefault="0009001B" w:rsidP="00207EEE">
      <w:pPr>
        <w:spacing w:before="60" w:after="120" w:line="240" w:lineRule="auto"/>
        <w:ind w:right="30" w:firstLine="709"/>
        <w:rPr>
          <w:rFonts w:ascii="Times New Roman" w:eastAsia="Times New Roman" w:hAnsi="Times New Roman" w:cs="Times New Roman"/>
          <w:lang w:val="uk-UA"/>
        </w:rPr>
      </w:pPr>
    </w:p>
    <w:p w:rsidR="0006002A" w:rsidRPr="005F5D43" w:rsidRDefault="00A81A79" w:rsidP="002E02C4">
      <w:pPr>
        <w:pStyle w:val="aa"/>
        <w:rPr>
          <w:rFonts w:ascii="Times New Roman" w:hAnsi="Times New Roman" w:cs="Times New Roman"/>
          <w:sz w:val="28"/>
          <w:szCs w:val="28"/>
          <w:lang w:val="uk-UA"/>
        </w:rPr>
      </w:pPr>
      <w:r w:rsidRPr="005F5D43">
        <w:rPr>
          <w:rFonts w:ascii="Times New Roman" w:hAnsi="Times New Roman" w:cs="Times New Roman"/>
          <w:sz w:val="28"/>
          <w:szCs w:val="28"/>
          <w:lang w:val="uk-UA"/>
        </w:rPr>
        <w:t>Директор департаменту</w:t>
      </w:r>
    </w:p>
    <w:p w:rsidR="0006002A" w:rsidRPr="005F5D43" w:rsidRDefault="00A81A79" w:rsidP="002E02C4">
      <w:pPr>
        <w:pStyle w:val="aa"/>
        <w:rPr>
          <w:rFonts w:ascii="Times New Roman" w:hAnsi="Times New Roman" w:cs="Times New Roman"/>
          <w:sz w:val="28"/>
          <w:szCs w:val="28"/>
          <w:lang w:val="uk-UA"/>
        </w:rPr>
      </w:pPr>
      <w:r w:rsidRPr="005F5D43">
        <w:rPr>
          <w:rFonts w:ascii="Times New Roman" w:hAnsi="Times New Roman" w:cs="Times New Roman"/>
          <w:sz w:val="28"/>
          <w:szCs w:val="28"/>
          <w:lang w:val="uk-UA"/>
        </w:rPr>
        <w:t>економічного розвитку</w:t>
      </w:r>
    </w:p>
    <w:p w:rsidR="0006002A" w:rsidRPr="005F5D43" w:rsidRDefault="00A81A79" w:rsidP="002E02C4">
      <w:pPr>
        <w:pStyle w:val="aa"/>
        <w:rPr>
          <w:rFonts w:ascii="Times New Roman" w:hAnsi="Times New Roman" w:cs="Times New Roman"/>
          <w:sz w:val="28"/>
          <w:szCs w:val="28"/>
          <w:lang w:val="uk-UA"/>
        </w:rPr>
      </w:pPr>
      <w:r w:rsidRPr="005F5D43">
        <w:rPr>
          <w:rFonts w:ascii="Times New Roman" w:hAnsi="Times New Roman" w:cs="Times New Roman"/>
          <w:sz w:val="28"/>
          <w:szCs w:val="28"/>
          <w:lang w:val="uk-UA"/>
        </w:rPr>
        <w:t xml:space="preserve">і торгівлі облдержадміністрації                </w:t>
      </w:r>
      <w:r w:rsidR="002A688F" w:rsidRPr="005F5D43">
        <w:rPr>
          <w:rFonts w:ascii="Times New Roman" w:hAnsi="Times New Roman" w:cs="Times New Roman"/>
          <w:sz w:val="28"/>
          <w:szCs w:val="28"/>
          <w:lang w:val="uk-UA"/>
        </w:rPr>
        <w:t xml:space="preserve">  </w:t>
      </w:r>
      <w:r w:rsidRPr="005F5D43">
        <w:rPr>
          <w:rFonts w:ascii="Times New Roman" w:hAnsi="Times New Roman" w:cs="Times New Roman"/>
          <w:sz w:val="28"/>
          <w:szCs w:val="28"/>
          <w:lang w:val="uk-UA"/>
        </w:rPr>
        <w:t xml:space="preserve">                    </w:t>
      </w:r>
      <w:r w:rsidRPr="005F5D43">
        <w:rPr>
          <w:rFonts w:ascii="Times New Roman" w:hAnsi="Times New Roman" w:cs="Times New Roman"/>
          <w:sz w:val="28"/>
          <w:szCs w:val="28"/>
          <w:lang w:val="uk-UA"/>
        </w:rPr>
        <w:tab/>
        <w:t>Костянтин МОКЛЯК</w:t>
      </w:r>
    </w:p>
    <w:p w:rsidR="0006002A" w:rsidRPr="005F5D43" w:rsidRDefault="0006002A" w:rsidP="00207EEE">
      <w:pPr>
        <w:spacing w:before="60" w:after="120" w:line="240" w:lineRule="auto"/>
        <w:ind w:right="30" w:firstLine="709"/>
        <w:rPr>
          <w:rFonts w:ascii="Times New Roman" w:hAnsi="Times New Roman" w:cs="Times New Roman"/>
          <w:sz w:val="28"/>
          <w:szCs w:val="28"/>
          <w:lang w:val="uk-UA"/>
        </w:rPr>
      </w:pPr>
    </w:p>
    <w:sectPr w:rsidR="0006002A" w:rsidRPr="005F5D43" w:rsidSect="001E4E15">
      <w:headerReference w:type="default" r:id="rId9"/>
      <w:pgSz w:w="11909" w:h="16834"/>
      <w:pgMar w:top="1134" w:right="567"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584" w:rsidRDefault="00560584" w:rsidP="002E02C4">
      <w:pPr>
        <w:spacing w:line="240" w:lineRule="auto"/>
      </w:pPr>
      <w:r>
        <w:separator/>
      </w:r>
    </w:p>
  </w:endnote>
  <w:endnote w:type="continuationSeparator" w:id="0">
    <w:p w:rsidR="00560584" w:rsidRDefault="00560584" w:rsidP="002E0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584" w:rsidRDefault="00560584" w:rsidP="002E02C4">
      <w:pPr>
        <w:spacing w:line="240" w:lineRule="auto"/>
      </w:pPr>
      <w:r>
        <w:separator/>
      </w:r>
    </w:p>
  </w:footnote>
  <w:footnote w:type="continuationSeparator" w:id="0">
    <w:p w:rsidR="00560584" w:rsidRDefault="00560584" w:rsidP="002E02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589247"/>
      <w:docPartObj>
        <w:docPartGallery w:val="Page Numbers (Top of Page)"/>
        <w:docPartUnique/>
      </w:docPartObj>
    </w:sdtPr>
    <w:sdtEndPr>
      <w:rPr>
        <w:rFonts w:ascii="Times New Roman" w:hAnsi="Times New Roman" w:cs="Times New Roman"/>
        <w:sz w:val="28"/>
        <w:szCs w:val="28"/>
      </w:rPr>
    </w:sdtEndPr>
    <w:sdtContent>
      <w:p w:rsidR="002E02C4" w:rsidRPr="002E02C4" w:rsidRDefault="002E02C4">
        <w:pPr>
          <w:pStyle w:val="a6"/>
          <w:jc w:val="center"/>
          <w:rPr>
            <w:rFonts w:ascii="Times New Roman" w:hAnsi="Times New Roman" w:cs="Times New Roman"/>
            <w:sz w:val="28"/>
            <w:szCs w:val="28"/>
          </w:rPr>
        </w:pPr>
        <w:r w:rsidRPr="002E02C4">
          <w:rPr>
            <w:rFonts w:ascii="Times New Roman" w:hAnsi="Times New Roman" w:cs="Times New Roman"/>
            <w:sz w:val="28"/>
            <w:szCs w:val="28"/>
          </w:rPr>
          <w:fldChar w:fldCharType="begin"/>
        </w:r>
        <w:r w:rsidRPr="002E02C4">
          <w:rPr>
            <w:rFonts w:ascii="Times New Roman" w:hAnsi="Times New Roman" w:cs="Times New Roman"/>
            <w:sz w:val="28"/>
            <w:szCs w:val="28"/>
          </w:rPr>
          <w:instrText>PAGE   \* MERGEFORMAT</w:instrText>
        </w:r>
        <w:r w:rsidRPr="002E02C4">
          <w:rPr>
            <w:rFonts w:ascii="Times New Roman" w:hAnsi="Times New Roman" w:cs="Times New Roman"/>
            <w:sz w:val="28"/>
            <w:szCs w:val="28"/>
          </w:rPr>
          <w:fldChar w:fldCharType="separate"/>
        </w:r>
        <w:r w:rsidR="00B147CB" w:rsidRPr="00B147CB">
          <w:rPr>
            <w:rFonts w:ascii="Times New Roman" w:hAnsi="Times New Roman" w:cs="Times New Roman"/>
            <w:noProof/>
            <w:sz w:val="28"/>
            <w:szCs w:val="28"/>
            <w:lang w:val="ru-RU"/>
          </w:rPr>
          <w:t>13</w:t>
        </w:r>
        <w:r w:rsidRPr="002E02C4">
          <w:rPr>
            <w:rFonts w:ascii="Times New Roman" w:hAnsi="Times New Roman" w:cs="Times New Roman"/>
            <w:sz w:val="28"/>
            <w:szCs w:val="28"/>
          </w:rPr>
          <w:fldChar w:fldCharType="end"/>
        </w:r>
      </w:p>
    </w:sdtContent>
  </w:sdt>
  <w:p w:rsidR="002E02C4" w:rsidRDefault="002E02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2A"/>
    <w:rsid w:val="000128A4"/>
    <w:rsid w:val="000261A0"/>
    <w:rsid w:val="0006002A"/>
    <w:rsid w:val="0009001B"/>
    <w:rsid w:val="000B1DAA"/>
    <w:rsid w:val="001E28AC"/>
    <w:rsid w:val="001E4E15"/>
    <w:rsid w:val="001F7B2B"/>
    <w:rsid w:val="0020100E"/>
    <w:rsid w:val="00207EEE"/>
    <w:rsid w:val="002A688F"/>
    <w:rsid w:val="002E02C4"/>
    <w:rsid w:val="003578BC"/>
    <w:rsid w:val="00387D06"/>
    <w:rsid w:val="003E7136"/>
    <w:rsid w:val="00414ED7"/>
    <w:rsid w:val="00443615"/>
    <w:rsid w:val="004D4480"/>
    <w:rsid w:val="004F1A1A"/>
    <w:rsid w:val="00515BC2"/>
    <w:rsid w:val="00560584"/>
    <w:rsid w:val="005F5D43"/>
    <w:rsid w:val="006D2DA1"/>
    <w:rsid w:val="006E5B19"/>
    <w:rsid w:val="007341CE"/>
    <w:rsid w:val="00735A9D"/>
    <w:rsid w:val="0074790B"/>
    <w:rsid w:val="007C5568"/>
    <w:rsid w:val="00833316"/>
    <w:rsid w:val="00845ECB"/>
    <w:rsid w:val="008A4B6C"/>
    <w:rsid w:val="008B61E3"/>
    <w:rsid w:val="008E383C"/>
    <w:rsid w:val="00991B00"/>
    <w:rsid w:val="00996F65"/>
    <w:rsid w:val="00A81A79"/>
    <w:rsid w:val="00A95B73"/>
    <w:rsid w:val="00A974A9"/>
    <w:rsid w:val="00B147CB"/>
    <w:rsid w:val="00B33395"/>
    <w:rsid w:val="00B70B07"/>
    <w:rsid w:val="00BD48AF"/>
    <w:rsid w:val="00BF116B"/>
    <w:rsid w:val="00C713CA"/>
    <w:rsid w:val="00C83C0B"/>
    <w:rsid w:val="00CA3321"/>
    <w:rsid w:val="00CB02BB"/>
    <w:rsid w:val="00CB08EA"/>
    <w:rsid w:val="00D82CEE"/>
    <w:rsid w:val="00DF7543"/>
    <w:rsid w:val="00E07FE3"/>
    <w:rsid w:val="00E918B1"/>
    <w:rsid w:val="00EB025C"/>
    <w:rsid w:val="00ED0929"/>
    <w:rsid w:val="00F121E4"/>
    <w:rsid w:val="00FE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4AC"/>
  <w15:docId w15:val="{D8B0516C-5577-4DE7-90D8-9F279299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name w:val="Table Grid"/>
    <w:basedOn w:val="a1"/>
    <w:uiPriority w:val="39"/>
    <w:rsid w:val="00207E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02C4"/>
    <w:pPr>
      <w:tabs>
        <w:tab w:val="center" w:pos="4844"/>
        <w:tab w:val="right" w:pos="9689"/>
      </w:tabs>
      <w:spacing w:line="240" w:lineRule="auto"/>
    </w:pPr>
  </w:style>
  <w:style w:type="character" w:customStyle="1" w:styleId="a7">
    <w:name w:val="Верхній колонтитул Знак"/>
    <w:basedOn w:val="a0"/>
    <w:link w:val="a6"/>
    <w:uiPriority w:val="99"/>
    <w:rsid w:val="002E02C4"/>
  </w:style>
  <w:style w:type="paragraph" w:styleId="a8">
    <w:name w:val="footer"/>
    <w:basedOn w:val="a"/>
    <w:link w:val="a9"/>
    <w:uiPriority w:val="99"/>
    <w:unhideWhenUsed/>
    <w:rsid w:val="002E02C4"/>
    <w:pPr>
      <w:tabs>
        <w:tab w:val="center" w:pos="4844"/>
        <w:tab w:val="right" w:pos="9689"/>
      </w:tabs>
      <w:spacing w:line="240" w:lineRule="auto"/>
    </w:pPr>
  </w:style>
  <w:style w:type="character" w:customStyle="1" w:styleId="a9">
    <w:name w:val="Нижній колонтитул Знак"/>
    <w:basedOn w:val="a0"/>
    <w:link w:val="a8"/>
    <w:uiPriority w:val="99"/>
    <w:rsid w:val="002E02C4"/>
  </w:style>
  <w:style w:type="paragraph" w:styleId="aa">
    <w:name w:val="No Spacing"/>
    <w:uiPriority w:val="1"/>
    <w:qFormat/>
    <w:rsid w:val="002E02C4"/>
    <w:pPr>
      <w:spacing w:line="240" w:lineRule="auto"/>
    </w:pPr>
  </w:style>
  <w:style w:type="paragraph" w:styleId="ab">
    <w:name w:val="Balloon Text"/>
    <w:basedOn w:val="a"/>
    <w:link w:val="ac"/>
    <w:uiPriority w:val="99"/>
    <w:semiHidden/>
    <w:unhideWhenUsed/>
    <w:rsid w:val="003E7136"/>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3E7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0AE6D-9A3A-4B7B-A0ED-F3C2A6D6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15149</Words>
  <Characters>8636</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Лісова</cp:lastModifiedBy>
  <cp:revision>33</cp:revision>
  <cp:lastPrinted>2024-12-03T06:59:00Z</cp:lastPrinted>
  <dcterms:created xsi:type="dcterms:W3CDTF">2024-11-14T06:55:00Z</dcterms:created>
  <dcterms:modified xsi:type="dcterms:W3CDTF">2024-12-18T14:27:00Z</dcterms:modified>
</cp:coreProperties>
</file>