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59" w:rsidRPr="00EA6659" w:rsidRDefault="00EA6659" w:rsidP="00EA6659">
      <w:pPr>
        <w:jc w:val="center"/>
        <w:rPr>
          <w:b/>
          <w:sz w:val="28"/>
          <w:szCs w:val="28"/>
        </w:rPr>
      </w:pPr>
      <w:r w:rsidRPr="00EA6659">
        <w:rPr>
          <w:b/>
          <w:sz w:val="28"/>
          <w:szCs w:val="28"/>
        </w:rPr>
        <w:t>Звіт</w:t>
      </w:r>
    </w:p>
    <w:p w:rsidR="00EA6659" w:rsidRPr="00EA6659" w:rsidRDefault="00EA6659" w:rsidP="00EA6659">
      <w:pPr>
        <w:jc w:val="center"/>
        <w:rPr>
          <w:b/>
          <w:sz w:val="28"/>
        </w:rPr>
      </w:pPr>
      <w:r w:rsidRPr="00EA6659">
        <w:rPr>
          <w:b/>
          <w:sz w:val="28"/>
          <w:szCs w:val="28"/>
        </w:rPr>
        <w:t xml:space="preserve">про періодичне відстеження результативності регуляторного </w:t>
      </w:r>
      <w:proofErr w:type="spellStart"/>
      <w:r w:rsidRPr="00EA6659">
        <w:rPr>
          <w:b/>
          <w:sz w:val="28"/>
          <w:szCs w:val="28"/>
        </w:rPr>
        <w:t>акта</w:t>
      </w:r>
      <w:proofErr w:type="spellEnd"/>
      <w:r w:rsidRPr="00EA6659">
        <w:rPr>
          <w:b/>
          <w:sz w:val="28"/>
          <w:szCs w:val="28"/>
        </w:rPr>
        <w:t xml:space="preserve"> – розпорядження голови обл</w:t>
      </w:r>
      <w:r w:rsidR="00D92E8F">
        <w:rPr>
          <w:b/>
          <w:sz w:val="28"/>
          <w:szCs w:val="28"/>
        </w:rPr>
        <w:t xml:space="preserve">асної </w:t>
      </w:r>
      <w:r w:rsidRPr="00EA6659">
        <w:rPr>
          <w:b/>
          <w:sz w:val="28"/>
          <w:szCs w:val="28"/>
        </w:rPr>
        <w:t>держ</w:t>
      </w:r>
      <w:r w:rsidR="00D92E8F">
        <w:rPr>
          <w:b/>
          <w:sz w:val="28"/>
          <w:szCs w:val="28"/>
        </w:rPr>
        <w:t xml:space="preserve">авної </w:t>
      </w:r>
      <w:r w:rsidRPr="00EA6659">
        <w:rPr>
          <w:b/>
          <w:sz w:val="28"/>
          <w:szCs w:val="28"/>
        </w:rPr>
        <w:t xml:space="preserve">адміністрації </w:t>
      </w:r>
      <w:r w:rsidR="00D92E8F">
        <w:rPr>
          <w:b/>
          <w:sz w:val="28"/>
          <w:szCs w:val="28"/>
        </w:rPr>
        <w:br/>
      </w:r>
      <w:r w:rsidRPr="00EA6659">
        <w:rPr>
          <w:b/>
          <w:sz w:val="28"/>
          <w:szCs w:val="28"/>
        </w:rPr>
        <w:t xml:space="preserve">від </w:t>
      </w:r>
      <w:r w:rsidRPr="00EA6659">
        <w:rPr>
          <w:b/>
          <w:sz w:val="28"/>
        </w:rPr>
        <w:t xml:space="preserve">27 червня 2007 року № 320 «Про регулювання цін на деякі види паливно-енергетичних ресурсів» (із внесеними змінами), </w:t>
      </w:r>
      <w:r w:rsidR="00D92E8F">
        <w:rPr>
          <w:b/>
          <w:sz w:val="28"/>
        </w:rPr>
        <w:br/>
      </w:r>
      <w:r w:rsidRPr="00EA6659">
        <w:rPr>
          <w:b/>
          <w:sz w:val="28"/>
        </w:rPr>
        <w:t xml:space="preserve">зареєстрованого в Головному управлінні юстиції у Рівненській області </w:t>
      </w:r>
      <w:r w:rsidR="00D92E8F">
        <w:rPr>
          <w:b/>
          <w:sz w:val="28"/>
        </w:rPr>
        <w:br/>
      </w:r>
      <w:r w:rsidRPr="00EA6659">
        <w:rPr>
          <w:b/>
          <w:sz w:val="28"/>
        </w:rPr>
        <w:t>11 липня 2007 року за №</w:t>
      </w:r>
      <w:r w:rsidR="00E60E5F">
        <w:rPr>
          <w:b/>
          <w:sz w:val="28"/>
        </w:rPr>
        <w:t xml:space="preserve"> </w:t>
      </w:r>
      <w:r w:rsidRPr="00EA6659">
        <w:rPr>
          <w:b/>
          <w:sz w:val="28"/>
        </w:rPr>
        <w:t>41/754</w:t>
      </w:r>
    </w:p>
    <w:p w:rsidR="00EA6659" w:rsidRPr="00EA6659" w:rsidRDefault="00EA6659" w:rsidP="00EA6659">
      <w:pPr>
        <w:jc w:val="center"/>
        <w:rPr>
          <w:sz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sz w:val="28"/>
          <w:szCs w:val="28"/>
        </w:rPr>
        <w:t xml:space="preserve">Вид та назва регуляторного </w:t>
      </w:r>
      <w:proofErr w:type="spellStart"/>
      <w:r w:rsidRPr="00EA6659">
        <w:rPr>
          <w:b/>
          <w:sz w:val="28"/>
          <w:szCs w:val="28"/>
        </w:rPr>
        <w:t>акта</w:t>
      </w:r>
      <w:proofErr w:type="spellEnd"/>
    </w:p>
    <w:p w:rsidR="00EA6659" w:rsidRPr="00EA6659" w:rsidRDefault="00EA6659" w:rsidP="00EA6659">
      <w:pPr>
        <w:tabs>
          <w:tab w:val="left" w:pos="993"/>
        </w:tabs>
        <w:ind w:firstLine="709"/>
        <w:jc w:val="both"/>
        <w:rPr>
          <w:sz w:val="28"/>
        </w:rPr>
      </w:pPr>
      <w:r w:rsidRPr="00EA6659">
        <w:rPr>
          <w:sz w:val="28"/>
        </w:rPr>
        <w:t>Розпорядження голови обл</w:t>
      </w:r>
      <w:r w:rsidR="00D92E8F">
        <w:rPr>
          <w:sz w:val="28"/>
        </w:rPr>
        <w:t xml:space="preserve">асної </w:t>
      </w:r>
      <w:r w:rsidRPr="00EA6659">
        <w:rPr>
          <w:sz w:val="28"/>
        </w:rPr>
        <w:t>держ</w:t>
      </w:r>
      <w:r w:rsidR="00D92E8F">
        <w:rPr>
          <w:sz w:val="28"/>
        </w:rPr>
        <w:t xml:space="preserve">авної </w:t>
      </w:r>
      <w:r w:rsidRPr="00EA6659">
        <w:rPr>
          <w:sz w:val="28"/>
        </w:rPr>
        <w:t xml:space="preserve">адміністрації від 27 червня </w:t>
      </w:r>
      <w:r w:rsidR="00D92E8F">
        <w:rPr>
          <w:sz w:val="28"/>
        </w:rPr>
        <w:br/>
      </w:r>
      <w:r w:rsidRPr="00EA6659">
        <w:rPr>
          <w:sz w:val="28"/>
        </w:rPr>
        <w:t>2007 року № 320 «Про регулювання цін на деякі види паливно-енергетичних ресурсів» (із внесеними змінами)</w:t>
      </w:r>
      <w:r w:rsidR="00091449">
        <w:rPr>
          <w:sz w:val="28"/>
        </w:rPr>
        <w:t xml:space="preserve"> (далі – розпорядження)</w:t>
      </w:r>
      <w:r w:rsidRPr="00EA6659">
        <w:rPr>
          <w:sz w:val="28"/>
        </w:rPr>
        <w:t>.</w:t>
      </w:r>
    </w:p>
    <w:p w:rsidR="00EA6659" w:rsidRPr="00CA7548" w:rsidRDefault="00EA6659" w:rsidP="00EA6659">
      <w:pPr>
        <w:tabs>
          <w:tab w:val="left" w:pos="993"/>
        </w:tabs>
        <w:ind w:firstLine="709"/>
        <w:jc w:val="both"/>
        <w:rPr>
          <w:sz w:val="28"/>
          <w:szCs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bCs/>
          <w:sz w:val="28"/>
          <w:szCs w:val="28"/>
        </w:rPr>
        <w:t>Назва виконавця заходів з відстеження результативності</w:t>
      </w:r>
    </w:p>
    <w:p w:rsidR="00EA6659" w:rsidRPr="00EA6659" w:rsidRDefault="00EA6659" w:rsidP="00EA6659">
      <w:pPr>
        <w:tabs>
          <w:tab w:val="left" w:pos="993"/>
        </w:tabs>
        <w:ind w:firstLine="709"/>
        <w:jc w:val="both"/>
        <w:rPr>
          <w:bCs/>
          <w:sz w:val="28"/>
          <w:szCs w:val="28"/>
        </w:rPr>
      </w:pPr>
      <w:r w:rsidRPr="00EA6659">
        <w:rPr>
          <w:bCs/>
          <w:sz w:val="28"/>
          <w:szCs w:val="28"/>
        </w:rPr>
        <w:t>Департамент економічного розвитку і торгівлі облдержадміністрації.</w:t>
      </w:r>
    </w:p>
    <w:p w:rsidR="00EA6659" w:rsidRPr="00CA7548" w:rsidRDefault="00EA6659" w:rsidP="00EA6659">
      <w:pPr>
        <w:tabs>
          <w:tab w:val="left" w:pos="993"/>
        </w:tabs>
        <w:ind w:firstLine="709"/>
        <w:jc w:val="both"/>
        <w:rPr>
          <w:bCs/>
          <w:sz w:val="28"/>
          <w:szCs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bCs/>
          <w:sz w:val="28"/>
          <w:szCs w:val="28"/>
        </w:rPr>
        <w:t xml:space="preserve">Цілі прийняття </w:t>
      </w:r>
      <w:proofErr w:type="spellStart"/>
      <w:r w:rsidRPr="00EA6659">
        <w:rPr>
          <w:b/>
          <w:bCs/>
          <w:sz w:val="28"/>
          <w:szCs w:val="28"/>
        </w:rPr>
        <w:t>акта</w:t>
      </w:r>
      <w:proofErr w:type="spellEnd"/>
    </w:p>
    <w:p w:rsidR="00EA6659" w:rsidRPr="00EA6659" w:rsidRDefault="00EA6659" w:rsidP="00EA6659">
      <w:pPr>
        <w:tabs>
          <w:tab w:val="left" w:pos="993"/>
        </w:tabs>
        <w:ind w:firstLine="709"/>
        <w:jc w:val="both"/>
        <w:rPr>
          <w:sz w:val="28"/>
        </w:rPr>
      </w:pPr>
      <w:r w:rsidRPr="00EA6659">
        <w:rPr>
          <w:sz w:val="28"/>
        </w:rPr>
        <w:t>Запровадження</w:t>
      </w:r>
      <w:r w:rsidRPr="00EA6659">
        <w:rPr>
          <w:b/>
          <w:sz w:val="28"/>
        </w:rPr>
        <w:t xml:space="preserve"> </w:t>
      </w:r>
      <w:r w:rsidRPr="00EA6659">
        <w:rPr>
          <w:sz w:val="28"/>
        </w:rPr>
        <w:t>прозорого ціноутворення на торф паливний кусковий, торф’яні брикети, дрова, скраплений газ, вугілля, вугільні брикети, що реалізуються населенню для побутових потреб, та забезпечення соціального захисту населення від необґрунтованого зростання цін на вказані паливно-енергетичні ресурси.</w:t>
      </w:r>
    </w:p>
    <w:p w:rsidR="00EA6659" w:rsidRPr="00CA7548" w:rsidRDefault="00EA6659" w:rsidP="00EA6659">
      <w:pPr>
        <w:tabs>
          <w:tab w:val="left" w:pos="993"/>
        </w:tabs>
        <w:ind w:firstLine="709"/>
        <w:jc w:val="both"/>
        <w:rPr>
          <w:sz w:val="28"/>
          <w:szCs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bCs/>
          <w:sz w:val="28"/>
          <w:szCs w:val="28"/>
        </w:rPr>
        <w:t>Строк виконання заходів з відстеження результативності</w:t>
      </w:r>
    </w:p>
    <w:p w:rsidR="00EA6659" w:rsidRPr="00EA6659" w:rsidRDefault="00EA6659" w:rsidP="00EA6659">
      <w:pPr>
        <w:tabs>
          <w:tab w:val="left" w:pos="993"/>
        </w:tabs>
        <w:ind w:firstLine="709"/>
        <w:jc w:val="both"/>
        <w:rPr>
          <w:bCs/>
          <w:sz w:val="28"/>
          <w:szCs w:val="28"/>
        </w:rPr>
      </w:pPr>
      <w:r w:rsidRPr="00EA6659">
        <w:rPr>
          <w:bCs/>
          <w:sz w:val="28"/>
          <w:szCs w:val="28"/>
        </w:rPr>
        <w:t>З 2</w:t>
      </w:r>
      <w:r w:rsidR="002851FD">
        <w:rPr>
          <w:bCs/>
          <w:sz w:val="28"/>
          <w:szCs w:val="28"/>
        </w:rPr>
        <w:t>1</w:t>
      </w:r>
      <w:r w:rsidRPr="00EA6659">
        <w:rPr>
          <w:bCs/>
          <w:sz w:val="28"/>
          <w:szCs w:val="28"/>
        </w:rPr>
        <w:t xml:space="preserve"> липня по </w:t>
      </w:r>
      <w:r w:rsidR="002851FD">
        <w:rPr>
          <w:bCs/>
          <w:sz w:val="28"/>
          <w:szCs w:val="28"/>
        </w:rPr>
        <w:t>21</w:t>
      </w:r>
      <w:r w:rsidRPr="00EA6659">
        <w:rPr>
          <w:bCs/>
          <w:sz w:val="28"/>
          <w:szCs w:val="28"/>
        </w:rPr>
        <w:t xml:space="preserve"> верес</w:t>
      </w:r>
      <w:r w:rsidR="00E433CE">
        <w:rPr>
          <w:bCs/>
          <w:sz w:val="28"/>
          <w:szCs w:val="28"/>
        </w:rPr>
        <w:t>ня 202</w:t>
      </w:r>
      <w:r w:rsidR="002851FD">
        <w:rPr>
          <w:bCs/>
          <w:sz w:val="28"/>
          <w:szCs w:val="28"/>
        </w:rPr>
        <w:t>3</w:t>
      </w:r>
      <w:r w:rsidRPr="00EA6659">
        <w:rPr>
          <w:bCs/>
          <w:sz w:val="28"/>
          <w:szCs w:val="28"/>
        </w:rPr>
        <w:t xml:space="preserve"> року.</w:t>
      </w:r>
    </w:p>
    <w:p w:rsidR="00EA6659" w:rsidRPr="00CA7548" w:rsidRDefault="00EA6659" w:rsidP="00EA6659">
      <w:pPr>
        <w:tabs>
          <w:tab w:val="left" w:pos="993"/>
        </w:tabs>
        <w:ind w:firstLine="709"/>
        <w:jc w:val="both"/>
        <w:rPr>
          <w:sz w:val="28"/>
          <w:szCs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sz w:val="28"/>
          <w:szCs w:val="28"/>
        </w:rPr>
        <w:t>Тип відстеження</w:t>
      </w:r>
    </w:p>
    <w:p w:rsidR="00EA6659" w:rsidRPr="00EA6659" w:rsidRDefault="00EA6659" w:rsidP="00EA6659">
      <w:pPr>
        <w:tabs>
          <w:tab w:val="left" w:pos="993"/>
        </w:tabs>
        <w:ind w:firstLine="709"/>
        <w:jc w:val="both"/>
        <w:rPr>
          <w:sz w:val="28"/>
          <w:szCs w:val="28"/>
        </w:rPr>
      </w:pPr>
      <w:r w:rsidRPr="00EA6659">
        <w:rPr>
          <w:sz w:val="28"/>
          <w:szCs w:val="28"/>
        </w:rPr>
        <w:t>Періодичне відстеження.</w:t>
      </w:r>
    </w:p>
    <w:p w:rsidR="00EA6659" w:rsidRPr="00CA7548" w:rsidRDefault="00EA6659" w:rsidP="00EA6659">
      <w:pPr>
        <w:tabs>
          <w:tab w:val="left" w:pos="993"/>
        </w:tabs>
        <w:ind w:firstLine="709"/>
        <w:jc w:val="both"/>
        <w:rPr>
          <w:sz w:val="28"/>
          <w:szCs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bCs/>
          <w:sz w:val="28"/>
          <w:szCs w:val="28"/>
        </w:rPr>
        <w:t>Методи одержання результатів відстеження</w:t>
      </w:r>
    </w:p>
    <w:p w:rsidR="00EA6659" w:rsidRPr="00EA6659" w:rsidRDefault="003E0078" w:rsidP="00EA6659">
      <w:pPr>
        <w:tabs>
          <w:tab w:val="left" w:pos="993"/>
        </w:tabs>
        <w:ind w:firstLine="709"/>
        <w:jc w:val="both"/>
        <w:rPr>
          <w:sz w:val="28"/>
        </w:rPr>
      </w:pPr>
      <w:r>
        <w:rPr>
          <w:sz w:val="28"/>
          <w:szCs w:val="28"/>
        </w:rPr>
        <w:t>Статистичний метод</w:t>
      </w:r>
      <w:r w:rsidR="00BB042F">
        <w:rPr>
          <w:sz w:val="28"/>
        </w:rPr>
        <w:t>.</w:t>
      </w:r>
    </w:p>
    <w:p w:rsidR="00EA6659" w:rsidRPr="00CA7548" w:rsidRDefault="00EA6659" w:rsidP="00EA6659">
      <w:pPr>
        <w:tabs>
          <w:tab w:val="left" w:pos="993"/>
        </w:tabs>
        <w:ind w:firstLine="709"/>
        <w:jc w:val="both"/>
        <w:rPr>
          <w:sz w:val="28"/>
          <w:szCs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bCs/>
          <w:sz w:val="28"/>
          <w:szCs w:val="28"/>
        </w:rPr>
        <w:t>Дані та припущення, на основі яких відстежувалася результативність, а також способи одержання даних</w:t>
      </w:r>
    </w:p>
    <w:p w:rsidR="00EA6659" w:rsidRPr="00EA6659" w:rsidRDefault="00EA6659" w:rsidP="00EA6659">
      <w:pPr>
        <w:tabs>
          <w:tab w:val="left" w:pos="993"/>
        </w:tabs>
        <w:ind w:firstLine="709"/>
        <w:jc w:val="both"/>
        <w:rPr>
          <w:sz w:val="28"/>
        </w:rPr>
      </w:pPr>
      <w:r w:rsidRPr="00EA6659">
        <w:rPr>
          <w:sz w:val="28"/>
        </w:rPr>
        <w:t xml:space="preserve">Періодичне відстеження результативності </w:t>
      </w:r>
      <w:r w:rsidR="00091449">
        <w:rPr>
          <w:sz w:val="28"/>
        </w:rPr>
        <w:t xml:space="preserve">регуляторного </w:t>
      </w:r>
      <w:proofErr w:type="spellStart"/>
      <w:r w:rsidR="00091449">
        <w:rPr>
          <w:sz w:val="28"/>
        </w:rPr>
        <w:t>акта</w:t>
      </w:r>
      <w:proofErr w:type="spellEnd"/>
      <w:r w:rsidRPr="00EA6659">
        <w:rPr>
          <w:sz w:val="28"/>
        </w:rPr>
        <w:t xml:space="preserve"> здійснено на підставі </w:t>
      </w:r>
      <w:r w:rsidR="003E0078">
        <w:rPr>
          <w:sz w:val="28"/>
        </w:rPr>
        <w:t xml:space="preserve">аналізу </w:t>
      </w:r>
      <w:r w:rsidR="00C937BD">
        <w:rPr>
          <w:sz w:val="28"/>
        </w:rPr>
        <w:t>інформацій</w:t>
      </w:r>
      <w:r w:rsidRPr="00EA6659">
        <w:rPr>
          <w:sz w:val="28"/>
        </w:rPr>
        <w:t xml:space="preserve"> </w:t>
      </w:r>
      <w:r w:rsidR="00C937BD">
        <w:rPr>
          <w:sz w:val="28"/>
        </w:rPr>
        <w:t>суб’єктів господарювання</w:t>
      </w:r>
      <w:r w:rsidR="001545A9">
        <w:rPr>
          <w:sz w:val="28"/>
        </w:rPr>
        <w:t>,</w:t>
      </w:r>
      <w:r w:rsidR="00C937BD">
        <w:rPr>
          <w:sz w:val="28"/>
        </w:rPr>
        <w:t xml:space="preserve"> департаменту житлово-комунального господарства, енергетики та енергоефективності облдержадміністрації</w:t>
      </w:r>
      <w:r w:rsidR="001545A9">
        <w:rPr>
          <w:sz w:val="28"/>
        </w:rPr>
        <w:t xml:space="preserve"> та </w:t>
      </w:r>
      <w:r w:rsidR="003E0078">
        <w:rPr>
          <w:sz w:val="28"/>
        </w:rPr>
        <w:t xml:space="preserve">Головного управління </w:t>
      </w:r>
      <w:proofErr w:type="spellStart"/>
      <w:r w:rsidR="003E0078">
        <w:rPr>
          <w:sz w:val="28"/>
        </w:rPr>
        <w:t>Дежпродспоживслужби</w:t>
      </w:r>
      <w:proofErr w:type="spellEnd"/>
      <w:r w:rsidR="003E0078">
        <w:rPr>
          <w:sz w:val="28"/>
        </w:rPr>
        <w:t xml:space="preserve"> в Рівненській області.</w:t>
      </w:r>
    </w:p>
    <w:p w:rsidR="00EA6659" w:rsidRPr="00CA7548" w:rsidRDefault="00EA6659" w:rsidP="00EA6659">
      <w:pPr>
        <w:tabs>
          <w:tab w:val="left" w:pos="993"/>
        </w:tabs>
        <w:ind w:firstLine="709"/>
        <w:jc w:val="both"/>
        <w:rPr>
          <w:sz w:val="28"/>
          <w:szCs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bCs/>
          <w:sz w:val="28"/>
          <w:szCs w:val="28"/>
        </w:rPr>
        <w:t>Кількісні та якісні значення показників результативності</w:t>
      </w:r>
    </w:p>
    <w:p w:rsidR="00EA6659" w:rsidRPr="00EA6659" w:rsidRDefault="00EA6659" w:rsidP="00EA6659">
      <w:pPr>
        <w:tabs>
          <w:tab w:val="left" w:pos="993"/>
        </w:tabs>
        <w:ind w:firstLine="709"/>
        <w:jc w:val="both"/>
        <w:rPr>
          <w:sz w:val="28"/>
        </w:rPr>
      </w:pPr>
      <w:r w:rsidRPr="00EA6659">
        <w:rPr>
          <w:sz w:val="28"/>
        </w:rPr>
        <w:t xml:space="preserve">Відповідно до постанови Кабінету Міністрів України від 25 грудня </w:t>
      </w:r>
      <w:r w:rsidR="00C937BD">
        <w:rPr>
          <w:sz w:val="28"/>
        </w:rPr>
        <w:br/>
      </w:r>
      <w:r w:rsidRPr="00EA6659">
        <w:rPr>
          <w:sz w:val="28"/>
        </w:rPr>
        <w:t xml:space="preserve">1996 року №1548 «Про встановлення повноважень органів виконавчої влади та виконавчих органів міських рад щодо регулювання цін (тарифів)», </w:t>
      </w:r>
      <w:r w:rsidRPr="00EA6659">
        <w:rPr>
          <w:sz w:val="28"/>
        </w:rPr>
        <w:lastRenderedPageBreak/>
        <w:t>розпорядженням для суб’єктів господарювання</w:t>
      </w:r>
      <w:r w:rsidR="00B31773">
        <w:rPr>
          <w:sz w:val="28"/>
        </w:rPr>
        <w:t>, визначених статтею 55 Господарського кодексу України,</w:t>
      </w:r>
      <w:r w:rsidRPr="00EA6659">
        <w:rPr>
          <w:sz w:val="28"/>
        </w:rPr>
        <w:t xml:space="preserve"> встановлено:</w:t>
      </w:r>
    </w:p>
    <w:p w:rsidR="00EA6659" w:rsidRPr="00EA6659" w:rsidRDefault="00EA6659" w:rsidP="00EA6659">
      <w:pPr>
        <w:tabs>
          <w:tab w:val="left" w:pos="993"/>
        </w:tabs>
        <w:ind w:firstLine="709"/>
        <w:jc w:val="both"/>
        <w:rPr>
          <w:sz w:val="28"/>
        </w:rPr>
      </w:pPr>
      <w:r w:rsidRPr="00EA6659">
        <w:rPr>
          <w:b/>
          <w:i/>
          <w:sz w:val="28"/>
        </w:rPr>
        <w:t>нормативи рентабельності</w:t>
      </w:r>
      <w:r w:rsidRPr="00EA6659">
        <w:rPr>
          <w:sz w:val="28"/>
        </w:rPr>
        <w:t xml:space="preserve"> </w:t>
      </w:r>
      <w:r w:rsidR="003E0078">
        <w:rPr>
          <w:sz w:val="28"/>
        </w:rPr>
        <w:t>1</w:t>
      </w:r>
      <w:r w:rsidRPr="00EA6659">
        <w:rPr>
          <w:sz w:val="28"/>
        </w:rPr>
        <w:t>5 відсотків собівартості на торф паливний кусковий, торф’яні брикети</w:t>
      </w:r>
      <w:r w:rsidR="003E0078">
        <w:rPr>
          <w:sz w:val="28"/>
        </w:rPr>
        <w:t>, 5 відсотків собівартості на</w:t>
      </w:r>
      <w:r w:rsidRPr="00EA6659">
        <w:rPr>
          <w:sz w:val="28"/>
        </w:rPr>
        <w:t xml:space="preserve"> дрова та 5 відсотків експлуатаційних витрат на газ скраплений, що відпускаються населенню для побутових потреб;</w:t>
      </w:r>
    </w:p>
    <w:p w:rsidR="00EA6659" w:rsidRPr="00EA6659" w:rsidRDefault="00EA6659" w:rsidP="00EA6659">
      <w:pPr>
        <w:tabs>
          <w:tab w:val="left" w:pos="993"/>
        </w:tabs>
        <w:ind w:firstLine="709"/>
        <w:jc w:val="both"/>
        <w:rPr>
          <w:sz w:val="28"/>
        </w:rPr>
      </w:pPr>
      <w:r w:rsidRPr="00EA6659">
        <w:rPr>
          <w:b/>
          <w:i/>
          <w:sz w:val="28"/>
        </w:rPr>
        <w:t>торговельні (постачальницько-збутові) надбавки</w:t>
      </w:r>
      <w:r w:rsidRPr="00EA6659">
        <w:rPr>
          <w:sz w:val="28"/>
        </w:rPr>
        <w:t xml:space="preserve"> на: </w:t>
      </w:r>
    </w:p>
    <w:p w:rsidR="00EA6659" w:rsidRPr="00EA6659" w:rsidRDefault="00EA6659" w:rsidP="00EA6659">
      <w:pPr>
        <w:tabs>
          <w:tab w:val="left" w:pos="993"/>
        </w:tabs>
        <w:ind w:firstLine="709"/>
        <w:jc w:val="both"/>
        <w:rPr>
          <w:sz w:val="28"/>
        </w:rPr>
      </w:pPr>
      <w:r w:rsidRPr="00EA6659">
        <w:rPr>
          <w:sz w:val="28"/>
        </w:rPr>
        <w:t xml:space="preserve">вугілля та вугільні брикети – 15 відсотків (у тому числі ПДВ) оптової ціни виробника (митної вартості) без врахування транспортних витрат; </w:t>
      </w:r>
    </w:p>
    <w:p w:rsidR="00EA6659" w:rsidRPr="00EA6659" w:rsidRDefault="00EA6659" w:rsidP="00EA6659">
      <w:pPr>
        <w:tabs>
          <w:tab w:val="left" w:pos="993"/>
        </w:tabs>
        <w:ind w:firstLine="709"/>
        <w:jc w:val="both"/>
        <w:rPr>
          <w:sz w:val="28"/>
        </w:rPr>
      </w:pPr>
      <w:r w:rsidRPr="00EA6659">
        <w:rPr>
          <w:sz w:val="28"/>
        </w:rPr>
        <w:t>торф паливний кусковий, торф’яні брикети – 15 відсотків (у тому числі ПДВ) оптової ціни виробника без врахуванням транспортних витрат;</w:t>
      </w:r>
    </w:p>
    <w:p w:rsidR="00EA6659" w:rsidRDefault="00EA6659" w:rsidP="00EA6659">
      <w:pPr>
        <w:tabs>
          <w:tab w:val="left" w:pos="993"/>
        </w:tabs>
        <w:ind w:firstLine="709"/>
        <w:jc w:val="both"/>
        <w:rPr>
          <w:sz w:val="28"/>
        </w:rPr>
      </w:pPr>
      <w:r w:rsidRPr="00EA6659">
        <w:rPr>
          <w:sz w:val="28"/>
        </w:rPr>
        <w:t>дрова – 25 відсотків (у тому числі ПДВ) оптової ціни виробника з врахуванням транспортних витрат.</w:t>
      </w:r>
    </w:p>
    <w:p w:rsidR="004D455F" w:rsidRPr="00A31ACD" w:rsidRDefault="00B31773" w:rsidP="00EA6659">
      <w:pPr>
        <w:tabs>
          <w:tab w:val="left" w:pos="993"/>
        </w:tabs>
        <w:ind w:firstLine="709"/>
        <w:jc w:val="both"/>
        <w:rPr>
          <w:sz w:val="28"/>
          <w:szCs w:val="28"/>
        </w:rPr>
      </w:pPr>
      <w:r w:rsidRPr="00B31773">
        <w:rPr>
          <w:sz w:val="28"/>
          <w:szCs w:val="28"/>
        </w:rPr>
        <w:t xml:space="preserve">Рівень поінформованості суб’єктів господарювання та/або фізичних осіб з основних положень </w:t>
      </w:r>
      <w:r w:rsidR="00CA7548">
        <w:rPr>
          <w:sz w:val="28"/>
          <w:szCs w:val="28"/>
        </w:rPr>
        <w:t xml:space="preserve">регуляторного </w:t>
      </w:r>
      <w:proofErr w:type="spellStart"/>
      <w:r w:rsidR="00CA7548">
        <w:rPr>
          <w:sz w:val="28"/>
          <w:szCs w:val="28"/>
        </w:rPr>
        <w:t>акта</w:t>
      </w:r>
      <w:proofErr w:type="spellEnd"/>
      <w:r w:rsidRPr="00B31773">
        <w:rPr>
          <w:sz w:val="28"/>
          <w:szCs w:val="28"/>
        </w:rPr>
        <w:t xml:space="preserve"> є достатнім.</w:t>
      </w:r>
      <w:r>
        <w:rPr>
          <w:sz w:val="28"/>
          <w:szCs w:val="28"/>
        </w:rPr>
        <w:t xml:space="preserve"> </w:t>
      </w:r>
      <w:r w:rsidR="00CA7548">
        <w:rPr>
          <w:sz w:val="28"/>
          <w:szCs w:val="28"/>
        </w:rPr>
        <w:t>Розпорядження</w:t>
      </w:r>
      <w:r w:rsidR="00A31ACD" w:rsidRPr="00A31ACD">
        <w:rPr>
          <w:sz w:val="28"/>
          <w:szCs w:val="28"/>
        </w:rPr>
        <w:t xml:space="preserve"> розміщен</w:t>
      </w:r>
      <w:r w:rsidR="00CA7548">
        <w:rPr>
          <w:sz w:val="28"/>
          <w:szCs w:val="28"/>
        </w:rPr>
        <w:t>о</w:t>
      </w:r>
      <w:r w:rsidR="00A31ACD" w:rsidRPr="00A31ACD">
        <w:rPr>
          <w:sz w:val="28"/>
          <w:szCs w:val="28"/>
        </w:rPr>
        <w:t xml:space="preserve"> на офіційному </w:t>
      </w:r>
      <w:proofErr w:type="spellStart"/>
      <w:r w:rsidR="00A31ACD" w:rsidRPr="00A31ACD">
        <w:rPr>
          <w:sz w:val="28"/>
          <w:szCs w:val="28"/>
        </w:rPr>
        <w:t>вебсайті</w:t>
      </w:r>
      <w:proofErr w:type="spellEnd"/>
      <w:r w:rsidR="00A31ACD" w:rsidRPr="00A31ACD">
        <w:rPr>
          <w:sz w:val="28"/>
          <w:szCs w:val="28"/>
        </w:rPr>
        <w:t xml:space="preserve"> Рівненської обласної державної адміністрації, інформація на якому доступна та відкрита для користувача</w:t>
      </w:r>
      <w:r w:rsidR="00A31ACD">
        <w:rPr>
          <w:sz w:val="28"/>
          <w:szCs w:val="28"/>
        </w:rPr>
        <w:t>.</w:t>
      </w:r>
    </w:p>
    <w:p w:rsidR="00431160" w:rsidRPr="00431160" w:rsidRDefault="00431160" w:rsidP="00EA6659">
      <w:pPr>
        <w:tabs>
          <w:tab w:val="left" w:pos="993"/>
        </w:tabs>
        <w:ind w:firstLine="709"/>
        <w:jc w:val="both"/>
        <w:rPr>
          <w:sz w:val="20"/>
          <w:szCs w:val="20"/>
        </w:rPr>
      </w:pPr>
    </w:p>
    <w:p w:rsidR="00EA6659" w:rsidRPr="00CF3142" w:rsidRDefault="00CE6D82" w:rsidP="00EA6659">
      <w:pPr>
        <w:tabs>
          <w:tab w:val="left" w:pos="993"/>
        </w:tabs>
        <w:ind w:firstLine="709"/>
        <w:jc w:val="both"/>
        <w:rPr>
          <w:sz w:val="28"/>
        </w:rPr>
      </w:pPr>
      <w:r>
        <w:rPr>
          <w:sz w:val="28"/>
        </w:rPr>
        <w:t xml:space="preserve">Діяльність </w:t>
      </w:r>
      <w:r w:rsidR="000D7DED">
        <w:rPr>
          <w:sz w:val="28"/>
        </w:rPr>
        <w:t xml:space="preserve">із забезпечення скрапленим газом для побутових потреб населення Рівненської області здійснювали </w:t>
      </w:r>
      <w:r w:rsidR="000A48E1">
        <w:rPr>
          <w:sz w:val="28"/>
        </w:rPr>
        <w:t>ДП «Пропан» ПАТ «</w:t>
      </w:r>
      <w:proofErr w:type="spellStart"/>
      <w:r w:rsidR="000A48E1">
        <w:rPr>
          <w:sz w:val="28"/>
        </w:rPr>
        <w:t>Житомиргаз</w:t>
      </w:r>
      <w:proofErr w:type="spellEnd"/>
      <w:r w:rsidR="000A48E1">
        <w:rPr>
          <w:sz w:val="28"/>
        </w:rPr>
        <w:t xml:space="preserve">», </w:t>
      </w:r>
      <w:r w:rsidR="000A48E1">
        <w:rPr>
          <w:sz w:val="28"/>
        </w:rPr>
        <w:br/>
        <w:t>ТзОВ «</w:t>
      </w:r>
      <w:proofErr w:type="spellStart"/>
      <w:r w:rsidR="000A48E1">
        <w:rPr>
          <w:sz w:val="28"/>
        </w:rPr>
        <w:t>Укр</w:t>
      </w:r>
      <w:proofErr w:type="spellEnd"/>
      <w:r w:rsidR="000A48E1">
        <w:rPr>
          <w:sz w:val="28"/>
        </w:rPr>
        <w:t xml:space="preserve"> Балон Постач» та ТОВ «</w:t>
      </w:r>
      <w:proofErr w:type="spellStart"/>
      <w:r w:rsidR="002B31BA">
        <w:rPr>
          <w:sz w:val="28"/>
        </w:rPr>
        <w:t>Газтрейдсервіс</w:t>
      </w:r>
      <w:proofErr w:type="spellEnd"/>
      <w:r w:rsidR="000A48E1">
        <w:rPr>
          <w:sz w:val="28"/>
        </w:rPr>
        <w:t xml:space="preserve">». </w:t>
      </w:r>
      <w:r w:rsidR="009E270F" w:rsidRPr="00CF3142">
        <w:rPr>
          <w:sz w:val="28"/>
        </w:rPr>
        <w:t>Через</w:t>
      </w:r>
      <w:r w:rsidR="000A48E1" w:rsidRPr="00CF3142">
        <w:rPr>
          <w:sz w:val="28"/>
        </w:rPr>
        <w:t xml:space="preserve"> </w:t>
      </w:r>
      <w:r w:rsidR="009E270F" w:rsidRPr="00CF3142">
        <w:rPr>
          <w:sz w:val="28"/>
        </w:rPr>
        <w:t xml:space="preserve">не проведення </w:t>
      </w:r>
      <w:r w:rsidR="00F762A1">
        <w:rPr>
          <w:sz w:val="28"/>
        </w:rPr>
        <w:t xml:space="preserve">з вересня 2019 року </w:t>
      </w:r>
      <w:r w:rsidR="009E270F" w:rsidRPr="00CF3142">
        <w:rPr>
          <w:sz w:val="28"/>
        </w:rPr>
        <w:t>спеціалізованих аукціонів з продажу скрапленого газу для потреб населення</w:t>
      </w:r>
      <w:r w:rsidR="00407841" w:rsidRPr="00CF3142">
        <w:rPr>
          <w:sz w:val="28"/>
        </w:rPr>
        <w:t xml:space="preserve"> </w:t>
      </w:r>
      <w:r w:rsidR="00CF3142" w:rsidRPr="00CF3142">
        <w:rPr>
          <w:sz w:val="28"/>
        </w:rPr>
        <w:t>суб’</w:t>
      </w:r>
      <w:r w:rsidR="00DD13A9">
        <w:rPr>
          <w:sz w:val="28"/>
        </w:rPr>
        <w:t>єктами</w:t>
      </w:r>
      <w:r w:rsidR="00CF3142" w:rsidRPr="00CF3142">
        <w:rPr>
          <w:sz w:val="28"/>
        </w:rPr>
        <w:t xml:space="preserve"> господарювання призупин</w:t>
      </w:r>
      <w:r w:rsidR="00F762A1">
        <w:rPr>
          <w:sz w:val="28"/>
        </w:rPr>
        <w:t>ено</w:t>
      </w:r>
      <w:r w:rsidR="00CF3142" w:rsidRPr="00CF3142">
        <w:rPr>
          <w:sz w:val="28"/>
        </w:rPr>
        <w:t xml:space="preserve"> здійснення зазначеної господарської діяльності.</w:t>
      </w:r>
    </w:p>
    <w:p w:rsidR="00EA6659" w:rsidRPr="00431160" w:rsidRDefault="00EA6659" w:rsidP="00EA6659">
      <w:pPr>
        <w:tabs>
          <w:tab w:val="left" w:pos="993"/>
        </w:tabs>
        <w:ind w:firstLine="709"/>
        <w:jc w:val="both"/>
        <w:rPr>
          <w:sz w:val="20"/>
          <w:szCs w:val="20"/>
        </w:rPr>
      </w:pPr>
    </w:p>
    <w:p w:rsidR="00DC2F53" w:rsidRDefault="00FE4ADD" w:rsidP="00EA6659">
      <w:pPr>
        <w:tabs>
          <w:tab w:val="left" w:pos="993"/>
        </w:tabs>
        <w:ind w:firstLine="709"/>
        <w:jc w:val="both"/>
        <w:rPr>
          <w:sz w:val="28"/>
        </w:rPr>
      </w:pPr>
      <w:r>
        <w:rPr>
          <w:sz w:val="28"/>
        </w:rPr>
        <w:t xml:space="preserve">Основним </w:t>
      </w:r>
      <w:proofErr w:type="spellStart"/>
      <w:r>
        <w:rPr>
          <w:sz w:val="28"/>
        </w:rPr>
        <w:t>надрокористувачем</w:t>
      </w:r>
      <w:proofErr w:type="spellEnd"/>
      <w:r>
        <w:rPr>
          <w:sz w:val="28"/>
        </w:rPr>
        <w:t xml:space="preserve">, яким здійснюється видобуток торфу, </w:t>
      </w:r>
      <w:r w:rsidR="00DC2F53">
        <w:rPr>
          <w:sz w:val="28"/>
        </w:rPr>
        <w:t xml:space="preserve">а також </w:t>
      </w:r>
      <w:r>
        <w:rPr>
          <w:sz w:val="28"/>
        </w:rPr>
        <w:t xml:space="preserve">виготовлення та реалізація </w:t>
      </w:r>
      <w:proofErr w:type="spellStart"/>
      <w:r>
        <w:rPr>
          <w:sz w:val="28"/>
        </w:rPr>
        <w:t>торфопродукції</w:t>
      </w:r>
      <w:proofErr w:type="spellEnd"/>
      <w:r>
        <w:rPr>
          <w:sz w:val="28"/>
        </w:rPr>
        <w:t xml:space="preserve"> для побутових потреб населення є </w:t>
      </w:r>
      <w:r w:rsidR="00DC2F53">
        <w:rPr>
          <w:sz w:val="28"/>
        </w:rPr>
        <w:t>Державне</w:t>
      </w:r>
      <w:r w:rsidR="00EA6659" w:rsidRPr="00EA6659">
        <w:rPr>
          <w:sz w:val="28"/>
        </w:rPr>
        <w:t xml:space="preserve"> підприє</w:t>
      </w:r>
      <w:r w:rsidR="000C7E22">
        <w:rPr>
          <w:sz w:val="28"/>
        </w:rPr>
        <w:t>мство «Рівнеторф»</w:t>
      </w:r>
      <w:r>
        <w:rPr>
          <w:sz w:val="28"/>
        </w:rPr>
        <w:t xml:space="preserve">. </w:t>
      </w:r>
    </w:p>
    <w:p w:rsidR="00252CA6" w:rsidRDefault="000332E9" w:rsidP="00EA6659">
      <w:pPr>
        <w:tabs>
          <w:tab w:val="left" w:pos="993"/>
        </w:tabs>
        <w:ind w:firstLine="709"/>
        <w:jc w:val="both"/>
        <w:rPr>
          <w:sz w:val="28"/>
        </w:rPr>
      </w:pPr>
      <w:r>
        <w:rPr>
          <w:sz w:val="28"/>
        </w:rPr>
        <w:t xml:space="preserve">В цілому у 2020-2022 роках підприємством видобуто майже 438 </w:t>
      </w:r>
      <w:proofErr w:type="spellStart"/>
      <w:r>
        <w:rPr>
          <w:sz w:val="28"/>
        </w:rPr>
        <w:t>тис.тонн</w:t>
      </w:r>
      <w:proofErr w:type="spellEnd"/>
      <w:r>
        <w:rPr>
          <w:sz w:val="28"/>
        </w:rPr>
        <w:t xml:space="preserve"> торфу та вироблено 238,8 </w:t>
      </w:r>
      <w:proofErr w:type="spellStart"/>
      <w:r>
        <w:rPr>
          <w:sz w:val="28"/>
        </w:rPr>
        <w:t>тис.тонн</w:t>
      </w:r>
      <w:proofErr w:type="spellEnd"/>
      <w:r>
        <w:rPr>
          <w:sz w:val="28"/>
        </w:rPr>
        <w:t xml:space="preserve"> </w:t>
      </w:r>
      <w:proofErr w:type="spellStart"/>
      <w:r>
        <w:rPr>
          <w:sz w:val="28"/>
        </w:rPr>
        <w:t>напівбрикетів</w:t>
      </w:r>
      <w:proofErr w:type="spellEnd"/>
      <w:r>
        <w:rPr>
          <w:sz w:val="28"/>
        </w:rPr>
        <w:t xml:space="preserve"> торф’яних, з яких понад </w:t>
      </w:r>
      <w:r>
        <w:rPr>
          <w:sz w:val="28"/>
        </w:rPr>
        <w:br/>
        <w:t xml:space="preserve">126 </w:t>
      </w:r>
      <w:proofErr w:type="spellStart"/>
      <w:r>
        <w:rPr>
          <w:sz w:val="28"/>
        </w:rPr>
        <w:t>тис.тонн</w:t>
      </w:r>
      <w:proofErr w:type="spellEnd"/>
      <w:r>
        <w:rPr>
          <w:sz w:val="28"/>
        </w:rPr>
        <w:t xml:space="preserve"> реалізовано для побутових потреб населення. Виробництво торфу паливного кускового у вказаний період не здійснювалося.</w:t>
      </w:r>
    </w:p>
    <w:p w:rsidR="00EA6659" w:rsidRPr="00FB4FE3" w:rsidRDefault="00EA6659" w:rsidP="009A1077">
      <w:pPr>
        <w:tabs>
          <w:tab w:val="left" w:pos="993"/>
        </w:tabs>
        <w:jc w:val="both"/>
        <w:rPr>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275"/>
        <w:gridCol w:w="1276"/>
        <w:gridCol w:w="1276"/>
        <w:gridCol w:w="1411"/>
      </w:tblGrid>
      <w:tr w:rsidR="009A1077" w:rsidRPr="00D533CF" w:rsidTr="00FB4FE3">
        <w:tc>
          <w:tcPr>
            <w:tcW w:w="4537" w:type="dxa"/>
            <w:shd w:val="clear" w:color="auto" w:fill="auto"/>
          </w:tcPr>
          <w:p w:rsidR="009A1077" w:rsidRPr="00D533CF" w:rsidRDefault="009A1077" w:rsidP="00785FBE">
            <w:pPr>
              <w:tabs>
                <w:tab w:val="left" w:pos="993"/>
              </w:tabs>
              <w:jc w:val="both"/>
              <w:rPr>
                <w:sz w:val="28"/>
              </w:rPr>
            </w:pPr>
          </w:p>
        </w:tc>
        <w:tc>
          <w:tcPr>
            <w:tcW w:w="1275" w:type="dxa"/>
            <w:shd w:val="clear" w:color="auto" w:fill="auto"/>
            <w:vAlign w:val="center"/>
          </w:tcPr>
          <w:p w:rsidR="009A1077" w:rsidRPr="00FB4FE3" w:rsidRDefault="000332E9" w:rsidP="00785FBE">
            <w:pPr>
              <w:tabs>
                <w:tab w:val="left" w:pos="993"/>
              </w:tabs>
              <w:jc w:val="center"/>
              <w:rPr>
                <w:b/>
                <w:sz w:val="26"/>
                <w:szCs w:val="26"/>
              </w:rPr>
            </w:pPr>
            <w:r w:rsidRPr="00FB4FE3">
              <w:rPr>
                <w:b/>
                <w:sz w:val="26"/>
                <w:szCs w:val="26"/>
              </w:rPr>
              <w:t>2020</w:t>
            </w:r>
            <w:r w:rsidR="009A1077" w:rsidRPr="00FB4FE3">
              <w:rPr>
                <w:b/>
                <w:sz w:val="26"/>
                <w:szCs w:val="26"/>
              </w:rPr>
              <w:t xml:space="preserve"> рік</w:t>
            </w:r>
          </w:p>
        </w:tc>
        <w:tc>
          <w:tcPr>
            <w:tcW w:w="1276" w:type="dxa"/>
            <w:shd w:val="clear" w:color="auto" w:fill="auto"/>
            <w:vAlign w:val="center"/>
          </w:tcPr>
          <w:p w:rsidR="009A1077" w:rsidRPr="00FB4FE3" w:rsidRDefault="000332E9" w:rsidP="00785FBE">
            <w:pPr>
              <w:tabs>
                <w:tab w:val="left" w:pos="993"/>
              </w:tabs>
              <w:jc w:val="center"/>
              <w:rPr>
                <w:b/>
                <w:sz w:val="26"/>
                <w:szCs w:val="26"/>
              </w:rPr>
            </w:pPr>
            <w:r w:rsidRPr="00FB4FE3">
              <w:rPr>
                <w:b/>
                <w:sz w:val="26"/>
                <w:szCs w:val="26"/>
              </w:rPr>
              <w:t>2021</w:t>
            </w:r>
            <w:r w:rsidR="009A1077" w:rsidRPr="00FB4FE3">
              <w:rPr>
                <w:b/>
                <w:sz w:val="26"/>
                <w:szCs w:val="26"/>
              </w:rPr>
              <w:t xml:space="preserve"> рік</w:t>
            </w:r>
          </w:p>
        </w:tc>
        <w:tc>
          <w:tcPr>
            <w:tcW w:w="1276" w:type="dxa"/>
            <w:shd w:val="clear" w:color="auto" w:fill="auto"/>
            <w:vAlign w:val="center"/>
          </w:tcPr>
          <w:p w:rsidR="009A1077" w:rsidRPr="00FB4FE3" w:rsidRDefault="000332E9" w:rsidP="00785FBE">
            <w:pPr>
              <w:tabs>
                <w:tab w:val="left" w:pos="993"/>
              </w:tabs>
              <w:jc w:val="center"/>
              <w:rPr>
                <w:b/>
                <w:sz w:val="26"/>
                <w:szCs w:val="26"/>
              </w:rPr>
            </w:pPr>
            <w:r w:rsidRPr="00FB4FE3">
              <w:rPr>
                <w:b/>
                <w:sz w:val="26"/>
                <w:szCs w:val="26"/>
              </w:rPr>
              <w:t>2022</w:t>
            </w:r>
            <w:r w:rsidR="009A1077" w:rsidRPr="00FB4FE3">
              <w:rPr>
                <w:b/>
                <w:sz w:val="26"/>
                <w:szCs w:val="26"/>
              </w:rPr>
              <w:t xml:space="preserve"> рік</w:t>
            </w:r>
          </w:p>
        </w:tc>
        <w:tc>
          <w:tcPr>
            <w:tcW w:w="1411" w:type="dxa"/>
            <w:shd w:val="clear" w:color="auto" w:fill="auto"/>
            <w:vAlign w:val="center"/>
          </w:tcPr>
          <w:p w:rsidR="009A1077" w:rsidRPr="00FB4FE3" w:rsidRDefault="000332E9" w:rsidP="00785FBE">
            <w:pPr>
              <w:tabs>
                <w:tab w:val="left" w:pos="993"/>
              </w:tabs>
              <w:jc w:val="center"/>
              <w:rPr>
                <w:b/>
                <w:sz w:val="26"/>
                <w:szCs w:val="26"/>
              </w:rPr>
            </w:pPr>
            <w:r w:rsidRPr="00FB4FE3">
              <w:rPr>
                <w:b/>
                <w:sz w:val="26"/>
                <w:szCs w:val="26"/>
              </w:rPr>
              <w:t>І півріччя 2023</w:t>
            </w:r>
            <w:r w:rsidR="009A1077" w:rsidRPr="00FB4FE3">
              <w:rPr>
                <w:b/>
                <w:sz w:val="26"/>
                <w:szCs w:val="26"/>
              </w:rPr>
              <w:t xml:space="preserve"> року</w:t>
            </w:r>
          </w:p>
        </w:tc>
      </w:tr>
      <w:tr w:rsidR="009A1077" w:rsidRPr="00D533CF" w:rsidTr="00FB4FE3">
        <w:tc>
          <w:tcPr>
            <w:tcW w:w="4537" w:type="dxa"/>
            <w:shd w:val="clear" w:color="auto" w:fill="auto"/>
          </w:tcPr>
          <w:p w:rsidR="009A1077" w:rsidRPr="00CA7548" w:rsidRDefault="009A1077" w:rsidP="009A1077">
            <w:pPr>
              <w:tabs>
                <w:tab w:val="left" w:pos="993"/>
              </w:tabs>
              <w:jc w:val="both"/>
              <w:rPr>
                <w:sz w:val="28"/>
                <w:szCs w:val="28"/>
              </w:rPr>
            </w:pPr>
            <w:r w:rsidRPr="00CA7548">
              <w:rPr>
                <w:sz w:val="28"/>
                <w:szCs w:val="28"/>
              </w:rPr>
              <w:t>Оптово-відпускна цін</w:t>
            </w:r>
            <w:r w:rsidR="00FB4FE3" w:rsidRPr="00CA7548">
              <w:rPr>
                <w:sz w:val="28"/>
                <w:szCs w:val="28"/>
              </w:rPr>
              <w:t xml:space="preserve">а на </w:t>
            </w:r>
            <w:proofErr w:type="spellStart"/>
            <w:r w:rsidR="00FB4FE3" w:rsidRPr="00CA7548">
              <w:rPr>
                <w:sz w:val="28"/>
                <w:szCs w:val="28"/>
              </w:rPr>
              <w:t>напівбрикети</w:t>
            </w:r>
            <w:proofErr w:type="spellEnd"/>
            <w:r w:rsidR="00FB4FE3" w:rsidRPr="00CA7548">
              <w:rPr>
                <w:sz w:val="28"/>
                <w:szCs w:val="28"/>
              </w:rPr>
              <w:t xml:space="preserve"> торф’яні, грн</w:t>
            </w:r>
            <w:r w:rsidRPr="00CA7548">
              <w:rPr>
                <w:sz w:val="28"/>
                <w:szCs w:val="28"/>
              </w:rPr>
              <w:t>/тонну</w:t>
            </w:r>
            <w:r w:rsidR="000332E9" w:rsidRPr="00CA7548">
              <w:rPr>
                <w:sz w:val="28"/>
                <w:szCs w:val="28"/>
              </w:rPr>
              <w:t xml:space="preserve"> </w:t>
            </w:r>
            <w:r w:rsidR="00FB4FE3" w:rsidRPr="00CA7548">
              <w:rPr>
                <w:sz w:val="28"/>
                <w:szCs w:val="28"/>
              </w:rPr>
              <w:br/>
            </w:r>
            <w:r w:rsidR="000332E9" w:rsidRPr="00CA7548">
              <w:rPr>
                <w:sz w:val="28"/>
                <w:szCs w:val="28"/>
              </w:rPr>
              <w:t>(з ПДВ)</w:t>
            </w:r>
          </w:p>
        </w:tc>
        <w:tc>
          <w:tcPr>
            <w:tcW w:w="1275" w:type="dxa"/>
            <w:shd w:val="clear" w:color="auto" w:fill="auto"/>
          </w:tcPr>
          <w:p w:rsidR="009A1077" w:rsidRPr="009A1077" w:rsidRDefault="000332E9" w:rsidP="00785FBE">
            <w:pPr>
              <w:tabs>
                <w:tab w:val="left" w:pos="993"/>
              </w:tabs>
              <w:jc w:val="center"/>
              <w:rPr>
                <w:sz w:val="28"/>
                <w:szCs w:val="28"/>
              </w:rPr>
            </w:pPr>
            <w:r>
              <w:rPr>
                <w:sz w:val="28"/>
                <w:szCs w:val="28"/>
              </w:rPr>
              <w:t>1065,00</w:t>
            </w:r>
          </w:p>
        </w:tc>
        <w:tc>
          <w:tcPr>
            <w:tcW w:w="1276" w:type="dxa"/>
            <w:shd w:val="clear" w:color="auto" w:fill="auto"/>
          </w:tcPr>
          <w:p w:rsidR="009A1077" w:rsidRPr="009A1077" w:rsidRDefault="00802204" w:rsidP="00785FBE">
            <w:pPr>
              <w:tabs>
                <w:tab w:val="left" w:pos="993"/>
              </w:tabs>
              <w:jc w:val="center"/>
              <w:rPr>
                <w:sz w:val="28"/>
                <w:szCs w:val="28"/>
              </w:rPr>
            </w:pPr>
            <w:r>
              <w:rPr>
                <w:sz w:val="28"/>
                <w:szCs w:val="28"/>
              </w:rPr>
              <w:t>1120,00-1410,00</w:t>
            </w:r>
          </w:p>
        </w:tc>
        <w:tc>
          <w:tcPr>
            <w:tcW w:w="1276" w:type="dxa"/>
            <w:shd w:val="clear" w:color="auto" w:fill="auto"/>
          </w:tcPr>
          <w:p w:rsidR="009A1077" w:rsidRPr="009A1077" w:rsidRDefault="00802204" w:rsidP="00785FBE">
            <w:pPr>
              <w:tabs>
                <w:tab w:val="left" w:pos="993"/>
              </w:tabs>
              <w:jc w:val="center"/>
              <w:rPr>
                <w:sz w:val="28"/>
                <w:szCs w:val="28"/>
              </w:rPr>
            </w:pPr>
            <w:r>
              <w:rPr>
                <w:sz w:val="28"/>
                <w:szCs w:val="28"/>
              </w:rPr>
              <w:t>1410,00-1860,00</w:t>
            </w:r>
          </w:p>
        </w:tc>
        <w:tc>
          <w:tcPr>
            <w:tcW w:w="1411" w:type="dxa"/>
            <w:shd w:val="clear" w:color="auto" w:fill="auto"/>
          </w:tcPr>
          <w:p w:rsidR="009A1077" w:rsidRPr="009A1077" w:rsidRDefault="00802204" w:rsidP="00785FBE">
            <w:pPr>
              <w:tabs>
                <w:tab w:val="left" w:pos="993"/>
              </w:tabs>
              <w:jc w:val="center"/>
              <w:rPr>
                <w:sz w:val="28"/>
                <w:szCs w:val="28"/>
              </w:rPr>
            </w:pPr>
            <w:r>
              <w:rPr>
                <w:sz w:val="28"/>
                <w:szCs w:val="28"/>
              </w:rPr>
              <w:t>1860,00</w:t>
            </w:r>
          </w:p>
        </w:tc>
      </w:tr>
      <w:tr w:rsidR="009A1077" w:rsidRPr="00D533CF" w:rsidTr="00FB4FE3">
        <w:tc>
          <w:tcPr>
            <w:tcW w:w="4537" w:type="dxa"/>
            <w:shd w:val="clear" w:color="auto" w:fill="auto"/>
          </w:tcPr>
          <w:p w:rsidR="009A1077" w:rsidRPr="00CA7548" w:rsidRDefault="009A1077" w:rsidP="00785FBE">
            <w:pPr>
              <w:tabs>
                <w:tab w:val="left" w:pos="993"/>
              </w:tabs>
              <w:jc w:val="both"/>
              <w:rPr>
                <w:sz w:val="28"/>
                <w:szCs w:val="28"/>
              </w:rPr>
            </w:pPr>
            <w:r w:rsidRPr="00CA7548">
              <w:rPr>
                <w:sz w:val="28"/>
                <w:szCs w:val="28"/>
              </w:rPr>
              <w:t>Рівень рентабельності, %</w:t>
            </w:r>
          </w:p>
        </w:tc>
        <w:tc>
          <w:tcPr>
            <w:tcW w:w="5238" w:type="dxa"/>
            <w:gridSpan w:val="4"/>
            <w:shd w:val="clear" w:color="auto" w:fill="auto"/>
          </w:tcPr>
          <w:p w:rsidR="009A1077" w:rsidRPr="00D533CF" w:rsidRDefault="009A1077" w:rsidP="00785FBE">
            <w:pPr>
              <w:tabs>
                <w:tab w:val="left" w:pos="993"/>
              </w:tabs>
              <w:jc w:val="center"/>
              <w:rPr>
                <w:sz w:val="28"/>
              </w:rPr>
            </w:pPr>
            <w:r>
              <w:rPr>
                <w:sz w:val="28"/>
              </w:rPr>
              <w:t>5,0</w:t>
            </w:r>
          </w:p>
        </w:tc>
      </w:tr>
      <w:tr w:rsidR="009A1077" w:rsidRPr="00D533CF" w:rsidTr="00FB4FE3">
        <w:tc>
          <w:tcPr>
            <w:tcW w:w="4537" w:type="dxa"/>
            <w:shd w:val="clear" w:color="auto" w:fill="auto"/>
          </w:tcPr>
          <w:p w:rsidR="009A1077" w:rsidRPr="00CA7548" w:rsidRDefault="009A1077" w:rsidP="00785FBE">
            <w:pPr>
              <w:tabs>
                <w:tab w:val="left" w:pos="993"/>
              </w:tabs>
              <w:jc w:val="both"/>
              <w:rPr>
                <w:sz w:val="28"/>
                <w:szCs w:val="28"/>
              </w:rPr>
            </w:pPr>
            <w:r w:rsidRPr="00CA7548">
              <w:rPr>
                <w:sz w:val="28"/>
                <w:szCs w:val="28"/>
              </w:rPr>
              <w:t xml:space="preserve">Обсяги реалізованого </w:t>
            </w:r>
            <w:proofErr w:type="spellStart"/>
            <w:r w:rsidRPr="00CA7548">
              <w:rPr>
                <w:sz w:val="28"/>
                <w:szCs w:val="28"/>
              </w:rPr>
              <w:t>напівбрикету</w:t>
            </w:r>
            <w:proofErr w:type="spellEnd"/>
            <w:r w:rsidRPr="00CA7548">
              <w:rPr>
                <w:sz w:val="28"/>
                <w:szCs w:val="28"/>
              </w:rPr>
              <w:t xml:space="preserve"> торф’яного для побутових потреб населення, </w:t>
            </w:r>
            <w:proofErr w:type="spellStart"/>
            <w:r w:rsidRPr="00CA7548">
              <w:rPr>
                <w:sz w:val="28"/>
                <w:szCs w:val="28"/>
              </w:rPr>
              <w:t>тис.тонн</w:t>
            </w:r>
            <w:proofErr w:type="spellEnd"/>
          </w:p>
        </w:tc>
        <w:tc>
          <w:tcPr>
            <w:tcW w:w="1275" w:type="dxa"/>
            <w:shd w:val="clear" w:color="auto" w:fill="auto"/>
          </w:tcPr>
          <w:p w:rsidR="009A1077" w:rsidRPr="00D533CF" w:rsidRDefault="00802204" w:rsidP="00785FBE">
            <w:pPr>
              <w:tabs>
                <w:tab w:val="left" w:pos="993"/>
              </w:tabs>
              <w:jc w:val="center"/>
              <w:rPr>
                <w:sz w:val="28"/>
              </w:rPr>
            </w:pPr>
            <w:r>
              <w:rPr>
                <w:sz w:val="28"/>
              </w:rPr>
              <w:t>39,9</w:t>
            </w:r>
          </w:p>
        </w:tc>
        <w:tc>
          <w:tcPr>
            <w:tcW w:w="1276" w:type="dxa"/>
            <w:shd w:val="clear" w:color="auto" w:fill="auto"/>
          </w:tcPr>
          <w:p w:rsidR="009A1077" w:rsidRPr="00D533CF" w:rsidRDefault="00802204" w:rsidP="00785FBE">
            <w:pPr>
              <w:tabs>
                <w:tab w:val="left" w:pos="993"/>
              </w:tabs>
              <w:jc w:val="center"/>
              <w:rPr>
                <w:sz w:val="28"/>
              </w:rPr>
            </w:pPr>
            <w:bookmarkStart w:id="0" w:name="_GoBack"/>
            <w:bookmarkEnd w:id="0"/>
            <w:r>
              <w:rPr>
                <w:sz w:val="28"/>
              </w:rPr>
              <w:t>50,0</w:t>
            </w:r>
          </w:p>
        </w:tc>
        <w:tc>
          <w:tcPr>
            <w:tcW w:w="1276" w:type="dxa"/>
            <w:shd w:val="clear" w:color="auto" w:fill="auto"/>
          </w:tcPr>
          <w:p w:rsidR="009A1077" w:rsidRPr="00D533CF" w:rsidRDefault="00802204" w:rsidP="00785FBE">
            <w:pPr>
              <w:tabs>
                <w:tab w:val="left" w:pos="993"/>
              </w:tabs>
              <w:jc w:val="center"/>
              <w:rPr>
                <w:sz w:val="28"/>
              </w:rPr>
            </w:pPr>
            <w:r>
              <w:rPr>
                <w:sz w:val="28"/>
              </w:rPr>
              <w:t>36,6</w:t>
            </w:r>
          </w:p>
        </w:tc>
        <w:tc>
          <w:tcPr>
            <w:tcW w:w="1411" w:type="dxa"/>
            <w:shd w:val="clear" w:color="auto" w:fill="auto"/>
          </w:tcPr>
          <w:p w:rsidR="009A1077" w:rsidRPr="00D533CF" w:rsidRDefault="00802204" w:rsidP="00785FBE">
            <w:pPr>
              <w:tabs>
                <w:tab w:val="left" w:pos="993"/>
              </w:tabs>
              <w:jc w:val="center"/>
              <w:rPr>
                <w:sz w:val="28"/>
              </w:rPr>
            </w:pPr>
            <w:r>
              <w:rPr>
                <w:sz w:val="28"/>
              </w:rPr>
              <w:t>12,1</w:t>
            </w:r>
          </w:p>
        </w:tc>
      </w:tr>
      <w:tr w:rsidR="009A1077" w:rsidRPr="00D533CF" w:rsidTr="00FB4FE3">
        <w:tc>
          <w:tcPr>
            <w:tcW w:w="4537" w:type="dxa"/>
            <w:shd w:val="clear" w:color="auto" w:fill="auto"/>
          </w:tcPr>
          <w:p w:rsidR="009A1077" w:rsidRPr="00CA7548" w:rsidRDefault="006423D5" w:rsidP="006423D5">
            <w:pPr>
              <w:tabs>
                <w:tab w:val="left" w:pos="993"/>
              </w:tabs>
              <w:jc w:val="both"/>
              <w:rPr>
                <w:sz w:val="28"/>
                <w:szCs w:val="28"/>
              </w:rPr>
            </w:pPr>
            <w:r w:rsidRPr="00CA7548">
              <w:rPr>
                <w:sz w:val="28"/>
                <w:szCs w:val="28"/>
              </w:rPr>
              <w:t xml:space="preserve">Частка </w:t>
            </w:r>
            <w:r w:rsidR="00E15E9C" w:rsidRPr="00CA7548">
              <w:rPr>
                <w:sz w:val="28"/>
                <w:szCs w:val="28"/>
              </w:rPr>
              <w:t xml:space="preserve">обсягу </w:t>
            </w:r>
            <w:r w:rsidRPr="00CA7548">
              <w:rPr>
                <w:sz w:val="28"/>
                <w:szCs w:val="28"/>
              </w:rPr>
              <w:t>реалізованої</w:t>
            </w:r>
            <w:r w:rsidR="009A1077" w:rsidRPr="00CA7548">
              <w:rPr>
                <w:sz w:val="28"/>
                <w:szCs w:val="28"/>
              </w:rPr>
              <w:t xml:space="preserve"> продукції </w:t>
            </w:r>
            <w:r w:rsidRPr="00CA7548">
              <w:rPr>
                <w:sz w:val="28"/>
                <w:szCs w:val="28"/>
              </w:rPr>
              <w:t>для побутових потреб населення у загальному обсязі реалізації, %</w:t>
            </w:r>
          </w:p>
        </w:tc>
        <w:tc>
          <w:tcPr>
            <w:tcW w:w="1275" w:type="dxa"/>
            <w:shd w:val="clear" w:color="auto" w:fill="auto"/>
          </w:tcPr>
          <w:p w:rsidR="009A1077" w:rsidRPr="00D533CF" w:rsidRDefault="00802204" w:rsidP="00785FBE">
            <w:pPr>
              <w:tabs>
                <w:tab w:val="left" w:pos="993"/>
              </w:tabs>
              <w:jc w:val="center"/>
              <w:rPr>
                <w:sz w:val="28"/>
              </w:rPr>
            </w:pPr>
            <w:r>
              <w:rPr>
                <w:sz w:val="28"/>
              </w:rPr>
              <w:t>54,1</w:t>
            </w:r>
          </w:p>
        </w:tc>
        <w:tc>
          <w:tcPr>
            <w:tcW w:w="1276" w:type="dxa"/>
            <w:shd w:val="clear" w:color="auto" w:fill="auto"/>
          </w:tcPr>
          <w:p w:rsidR="009A1077" w:rsidRPr="00D533CF" w:rsidRDefault="00802204" w:rsidP="00785FBE">
            <w:pPr>
              <w:tabs>
                <w:tab w:val="left" w:pos="993"/>
              </w:tabs>
              <w:jc w:val="center"/>
              <w:rPr>
                <w:sz w:val="28"/>
              </w:rPr>
            </w:pPr>
            <w:r>
              <w:rPr>
                <w:sz w:val="28"/>
              </w:rPr>
              <w:t>58,9</w:t>
            </w:r>
          </w:p>
        </w:tc>
        <w:tc>
          <w:tcPr>
            <w:tcW w:w="1276" w:type="dxa"/>
            <w:shd w:val="clear" w:color="auto" w:fill="auto"/>
          </w:tcPr>
          <w:p w:rsidR="009A1077" w:rsidRPr="00D533CF" w:rsidRDefault="00802204" w:rsidP="00785FBE">
            <w:pPr>
              <w:tabs>
                <w:tab w:val="left" w:pos="993"/>
              </w:tabs>
              <w:jc w:val="center"/>
              <w:rPr>
                <w:sz w:val="28"/>
              </w:rPr>
            </w:pPr>
            <w:r>
              <w:rPr>
                <w:sz w:val="28"/>
              </w:rPr>
              <w:t>47,4</w:t>
            </w:r>
          </w:p>
        </w:tc>
        <w:tc>
          <w:tcPr>
            <w:tcW w:w="1411" w:type="dxa"/>
            <w:shd w:val="clear" w:color="auto" w:fill="auto"/>
          </w:tcPr>
          <w:p w:rsidR="009A1077" w:rsidRPr="00D533CF" w:rsidRDefault="00802204" w:rsidP="00785FBE">
            <w:pPr>
              <w:tabs>
                <w:tab w:val="left" w:pos="993"/>
              </w:tabs>
              <w:jc w:val="center"/>
              <w:rPr>
                <w:sz w:val="28"/>
              </w:rPr>
            </w:pPr>
            <w:r>
              <w:rPr>
                <w:sz w:val="28"/>
              </w:rPr>
              <w:t>35,8</w:t>
            </w:r>
          </w:p>
        </w:tc>
      </w:tr>
    </w:tbl>
    <w:p w:rsidR="00B2319F" w:rsidRDefault="00B2319F" w:rsidP="00B2319F">
      <w:pPr>
        <w:tabs>
          <w:tab w:val="left" w:pos="993"/>
        </w:tabs>
        <w:ind w:firstLine="709"/>
        <w:jc w:val="both"/>
        <w:rPr>
          <w:sz w:val="28"/>
        </w:rPr>
      </w:pPr>
      <w:r w:rsidRPr="00B2319F">
        <w:rPr>
          <w:sz w:val="28"/>
        </w:rPr>
        <w:lastRenderedPageBreak/>
        <w:t xml:space="preserve">Зростання ціни реалізації </w:t>
      </w:r>
      <w:proofErr w:type="spellStart"/>
      <w:r w:rsidRPr="00B2319F">
        <w:rPr>
          <w:sz w:val="28"/>
        </w:rPr>
        <w:t>напівбрикетів</w:t>
      </w:r>
      <w:proofErr w:type="spellEnd"/>
      <w:r w:rsidRPr="00B2319F">
        <w:rPr>
          <w:sz w:val="28"/>
        </w:rPr>
        <w:t xml:space="preserve"> торф’яних для побутових потреб населення в першу чергу пояснюється збільшенням витрат на виробництво. </w:t>
      </w:r>
      <w:r w:rsidR="00F32F35">
        <w:rPr>
          <w:sz w:val="28"/>
        </w:rPr>
        <w:t>Так, у</w:t>
      </w:r>
      <w:r w:rsidRPr="00B2319F">
        <w:rPr>
          <w:sz w:val="28"/>
        </w:rPr>
        <w:t xml:space="preserve"> 2022 році витрати на пальне зросли у 2,5 </w:t>
      </w:r>
      <w:proofErr w:type="spellStart"/>
      <w:r w:rsidRPr="00B2319F">
        <w:rPr>
          <w:sz w:val="28"/>
        </w:rPr>
        <w:t>раза</w:t>
      </w:r>
      <w:proofErr w:type="spellEnd"/>
      <w:r w:rsidRPr="00B2319F">
        <w:rPr>
          <w:sz w:val="28"/>
        </w:rPr>
        <w:t xml:space="preserve">, матеріали та запчастини – </w:t>
      </w:r>
      <w:r>
        <w:rPr>
          <w:sz w:val="28"/>
        </w:rPr>
        <w:br/>
      </w:r>
      <w:r w:rsidRPr="00B2319F">
        <w:rPr>
          <w:sz w:val="28"/>
        </w:rPr>
        <w:t xml:space="preserve">3,4 - 48,4 </w:t>
      </w:r>
      <w:proofErr w:type="spellStart"/>
      <w:r w:rsidRPr="00B2319F">
        <w:rPr>
          <w:sz w:val="28"/>
        </w:rPr>
        <w:t>відс</w:t>
      </w:r>
      <w:proofErr w:type="spellEnd"/>
      <w:r w:rsidRPr="00B2319F">
        <w:rPr>
          <w:sz w:val="28"/>
        </w:rPr>
        <w:t xml:space="preserve">., електроенергію – 19,8 </w:t>
      </w:r>
      <w:proofErr w:type="spellStart"/>
      <w:r w:rsidRPr="00B2319F">
        <w:rPr>
          <w:sz w:val="28"/>
        </w:rPr>
        <w:t>відс</w:t>
      </w:r>
      <w:proofErr w:type="spellEnd"/>
      <w:r w:rsidRPr="00B2319F">
        <w:rPr>
          <w:sz w:val="28"/>
        </w:rPr>
        <w:t xml:space="preserve">., оплату праці – 8,2 </w:t>
      </w:r>
      <w:proofErr w:type="spellStart"/>
      <w:r w:rsidRPr="00B2319F">
        <w:rPr>
          <w:sz w:val="28"/>
        </w:rPr>
        <w:t>відс</w:t>
      </w:r>
      <w:proofErr w:type="spellEnd"/>
      <w:r w:rsidRPr="00B2319F">
        <w:rPr>
          <w:sz w:val="28"/>
        </w:rPr>
        <w:t xml:space="preserve">. </w:t>
      </w:r>
      <w:r w:rsidRPr="00B2319F">
        <w:rPr>
          <w:i/>
          <w:sz w:val="28"/>
        </w:rPr>
        <w:t xml:space="preserve">(грудень </w:t>
      </w:r>
      <w:r>
        <w:rPr>
          <w:i/>
          <w:sz w:val="28"/>
        </w:rPr>
        <w:br/>
      </w:r>
      <w:r w:rsidRPr="00B2319F">
        <w:rPr>
          <w:i/>
          <w:sz w:val="28"/>
        </w:rPr>
        <w:t>2022 року до січня 2022 року)</w:t>
      </w:r>
      <w:r w:rsidRPr="00B2319F">
        <w:rPr>
          <w:sz w:val="28"/>
        </w:rPr>
        <w:t>.</w:t>
      </w:r>
    </w:p>
    <w:p w:rsidR="00D92E8F" w:rsidRDefault="00D92E8F" w:rsidP="00B2319F">
      <w:pPr>
        <w:tabs>
          <w:tab w:val="left" w:pos="993"/>
        </w:tabs>
        <w:ind w:firstLine="709"/>
        <w:jc w:val="both"/>
        <w:rPr>
          <w:sz w:val="28"/>
        </w:rPr>
      </w:pPr>
      <w:r>
        <w:rPr>
          <w:sz w:val="28"/>
        </w:rPr>
        <w:t>При цьому, враховуючи пропозицію Державного підприємства «Рівнеторф»</w:t>
      </w:r>
      <w:r w:rsidR="00D276AF">
        <w:rPr>
          <w:sz w:val="28"/>
        </w:rPr>
        <w:t xml:space="preserve"> (лист</w:t>
      </w:r>
      <w:r w:rsidR="00E60E5F">
        <w:rPr>
          <w:sz w:val="28"/>
        </w:rPr>
        <w:t xml:space="preserve">и від 09 листопада </w:t>
      </w:r>
      <w:r w:rsidR="00D276AF">
        <w:rPr>
          <w:sz w:val="28"/>
        </w:rPr>
        <w:t>2021</w:t>
      </w:r>
      <w:r w:rsidR="00E60E5F">
        <w:rPr>
          <w:sz w:val="28"/>
        </w:rPr>
        <w:t xml:space="preserve"> року</w:t>
      </w:r>
      <w:r w:rsidR="00D276AF">
        <w:rPr>
          <w:sz w:val="28"/>
        </w:rPr>
        <w:t xml:space="preserve"> № 679</w:t>
      </w:r>
      <w:r w:rsidR="00E60E5F">
        <w:rPr>
          <w:sz w:val="28"/>
        </w:rPr>
        <w:t xml:space="preserve">, від 24 листопада </w:t>
      </w:r>
      <w:r w:rsidR="00E60E5F">
        <w:rPr>
          <w:sz w:val="28"/>
        </w:rPr>
        <w:br/>
        <w:t>2021 року № 728 та відповідні додаткові матеріали щодо обґрунтування необхідності збільшення нормативу рентабельності</w:t>
      </w:r>
      <w:r w:rsidR="00D276AF">
        <w:rPr>
          <w:sz w:val="28"/>
        </w:rPr>
        <w:t>)</w:t>
      </w:r>
      <w:r>
        <w:rPr>
          <w:sz w:val="28"/>
        </w:rPr>
        <w:t xml:space="preserve">, розпорядженням голови обласної державної адміністрації – начальника обласної військової адміністрації від 12 травня 2022 року № 83 </w:t>
      </w:r>
      <w:proofErr w:type="spellStart"/>
      <w:r>
        <w:rPr>
          <w:sz w:val="28"/>
        </w:rPr>
        <w:t>внесено</w:t>
      </w:r>
      <w:proofErr w:type="spellEnd"/>
      <w:r>
        <w:rPr>
          <w:sz w:val="28"/>
        </w:rPr>
        <w:t xml:space="preserve"> зміни до розпорядження </w:t>
      </w:r>
      <w:r w:rsidR="00D37741">
        <w:rPr>
          <w:sz w:val="28"/>
        </w:rPr>
        <w:t xml:space="preserve">та </w:t>
      </w:r>
      <w:r w:rsidR="00711525">
        <w:rPr>
          <w:sz w:val="28"/>
        </w:rPr>
        <w:t>збільшено</w:t>
      </w:r>
      <w:r w:rsidR="00D37741">
        <w:rPr>
          <w:sz w:val="28"/>
        </w:rPr>
        <w:t xml:space="preserve"> для суб’єктів господарювання норматив рентабельності на торф паливний кусковий, торф’яні брикети </w:t>
      </w:r>
      <w:r w:rsidR="00711525">
        <w:rPr>
          <w:sz w:val="28"/>
        </w:rPr>
        <w:t xml:space="preserve">з 5 відсотків до </w:t>
      </w:r>
      <w:r w:rsidR="00D37741">
        <w:rPr>
          <w:sz w:val="28"/>
        </w:rPr>
        <w:t>15 відсотків собівартості.</w:t>
      </w:r>
    </w:p>
    <w:p w:rsidR="00A14313" w:rsidRDefault="00F32F35" w:rsidP="00F32F35">
      <w:pPr>
        <w:tabs>
          <w:tab w:val="left" w:pos="993"/>
        </w:tabs>
        <w:ind w:firstLine="709"/>
        <w:jc w:val="both"/>
        <w:rPr>
          <w:sz w:val="28"/>
        </w:rPr>
      </w:pPr>
      <w:r w:rsidRPr="00F32F35">
        <w:rPr>
          <w:sz w:val="28"/>
        </w:rPr>
        <w:t xml:space="preserve">За </w:t>
      </w:r>
      <w:r w:rsidR="00D17630">
        <w:rPr>
          <w:sz w:val="28"/>
        </w:rPr>
        <w:t>підсумками</w:t>
      </w:r>
      <w:r w:rsidRPr="00F32F35">
        <w:rPr>
          <w:sz w:val="28"/>
        </w:rPr>
        <w:t xml:space="preserve"> господарської діяльності </w:t>
      </w:r>
      <w:r w:rsidR="00D17630">
        <w:rPr>
          <w:sz w:val="28"/>
        </w:rPr>
        <w:t xml:space="preserve">у 2020-2022 роках та І півріччі 2023 року фінансовий результат Державного </w:t>
      </w:r>
      <w:r w:rsidRPr="00F32F35">
        <w:rPr>
          <w:sz w:val="28"/>
        </w:rPr>
        <w:t>підприємств</w:t>
      </w:r>
      <w:r w:rsidR="00D17630">
        <w:rPr>
          <w:sz w:val="28"/>
        </w:rPr>
        <w:t>а</w:t>
      </w:r>
      <w:r w:rsidRPr="00F32F35">
        <w:rPr>
          <w:sz w:val="28"/>
        </w:rPr>
        <w:t xml:space="preserve"> «Рівнеторф» </w:t>
      </w:r>
      <w:r w:rsidR="00D17630">
        <w:rPr>
          <w:sz w:val="28"/>
        </w:rPr>
        <w:t xml:space="preserve">був прибутковим. </w:t>
      </w:r>
    </w:p>
    <w:p w:rsidR="00F32F35" w:rsidRPr="00F32F35" w:rsidRDefault="00D17630" w:rsidP="00F32F35">
      <w:pPr>
        <w:tabs>
          <w:tab w:val="left" w:pos="993"/>
        </w:tabs>
        <w:ind w:firstLine="709"/>
        <w:jc w:val="both"/>
        <w:rPr>
          <w:sz w:val="28"/>
        </w:rPr>
      </w:pPr>
      <w:r>
        <w:rPr>
          <w:sz w:val="28"/>
        </w:rPr>
        <w:t xml:space="preserve">У 2022 році </w:t>
      </w:r>
      <w:r w:rsidR="00F32F35" w:rsidRPr="00F32F35">
        <w:rPr>
          <w:sz w:val="28"/>
        </w:rPr>
        <w:t>нараховано та сплачено до державного бюджету:</w:t>
      </w:r>
    </w:p>
    <w:p w:rsidR="00F32F35" w:rsidRPr="00F32F35" w:rsidRDefault="00F32F35" w:rsidP="00F32F35">
      <w:pPr>
        <w:tabs>
          <w:tab w:val="left" w:pos="993"/>
        </w:tabs>
        <w:ind w:firstLine="709"/>
        <w:jc w:val="both"/>
        <w:rPr>
          <w:sz w:val="28"/>
        </w:rPr>
      </w:pPr>
      <w:r w:rsidRPr="00F32F35">
        <w:rPr>
          <w:sz w:val="28"/>
        </w:rPr>
        <w:t xml:space="preserve">частину чистого прибутку – 6,9 млн грн (2021 рік – 4,4 млн грн), в тому числі від реалізації </w:t>
      </w:r>
      <w:proofErr w:type="spellStart"/>
      <w:r w:rsidRPr="00F32F35">
        <w:rPr>
          <w:sz w:val="28"/>
        </w:rPr>
        <w:t>напівбрикетів</w:t>
      </w:r>
      <w:proofErr w:type="spellEnd"/>
      <w:r w:rsidRPr="00F32F35">
        <w:rPr>
          <w:sz w:val="28"/>
        </w:rPr>
        <w:t xml:space="preserve"> торф’яних населенню – 3,3 млн грн;</w:t>
      </w:r>
    </w:p>
    <w:p w:rsidR="00F32F35" w:rsidRPr="00F32F35" w:rsidRDefault="00F32F35" w:rsidP="00F32F35">
      <w:pPr>
        <w:tabs>
          <w:tab w:val="left" w:pos="993"/>
        </w:tabs>
        <w:ind w:firstLine="709"/>
        <w:jc w:val="both"/>
        <w:rPr>
          <w:sz w:val="28"/>
        </w:rPr>
      </w:pPr>
      <w:r w:rsidRPr="00F32F35">
        <w:rPr>
          <w:sz w:val="28"/>
        </w:rPr>
        <w:t xml:space="preserve">податку на прибуток – 3,0 млн грн (2021 рік – 2,2 млн грн), в тому числі від реалізації </w:t>
      </w:r>
      <w:proofErr w:type="spellStart"/>
      <w:r w:rsidRPr="00F32F35">
        <w:rPr>
          <w:sz w:val="28"/>
        </w:rPr>
        <w:t>напівбрикетів</w:t>
      </w:r>
      <w:proofErr w:type="spellEnd"/>
      <w:r w:rsidRPr="00F32F35">
        <w:rPr>
          <w:sz w:val="28"/>
        </w:rPr>
        <w:t xml:space="preserve"> торф’яних населенню – 0,9 млн грн.</w:t>
      </w:r>
    </w:p>
    <w:p w:rsidR="00B2319F" w:rsidRDefault="00F32F35" w:rsidP="00F32F35">
      <w:pPr>
        <w:tabs>
          <w:tab w:val="left" w:pos="993"/>
        </w:tabs>
        <w:ind w:firstLine="709"/>
        <w:jc w:val="both"/>
        <w:rPr>
          <w:sz w:val="28"/>
        </w:rPr>
      </w:pPr>
      <w:r w:rsidRPr="00F32F35">
        <w:rPr>
          <w:sz w:val="28"/>
        </w:rPr>
        <w:t xml:space="preserve">У січні-червні 2023 року до державного бюджету підприємством сплачено частину чистого прибутку в сумі 14,6 млн грн (в тому числі від реалізації </w:t>
      </w:r>
      <w:proofErr w:type="spellStart"/>
      <w:r w:rsidRPr="00F32F35">
        <w:rPr>
          <w:sz w:val="28"/>
        </w:rPr>
        <w:t>напівбрикетів</w:t>
      </w:r>
      <w:proofErr w:type="spellEnd"/>
      <w:r w:rsidRPr="00F32F35">
        <w:rPr>
          <w:sz w:val="28"/>
        </w:rPr>
        <w:t xml:space="preserve"> торф’яних населенню – 2,2 млн грн), податку на прибуток – </w:t>
      </w:r>
      <w:r w:rsidR="00D17630">
        <w:rPr>
          <w:sz w:val="28"/>
        </w:rPr>
        <w:br/>
      </w:r>
      <w:r w:rsidRPr="00F32F35">
        <w:rPr>
          <w:sz w:val="28"/>
        </w:rPr>
        <w:t xml:space="preserve">6,7 млн грн (в тому числі від реалізації </w:t>
      </w:r>
      <w:proofErr w:type="spellStart"/>
      <w:r w:rsidRPr="00F32F35">
        <w:rPr>
          <w:sz w:val="28"/>
        </w:rPr>
        <w:t>напівбрикетів</w:t>
      </w:r>
      <w:proofErr w:type="spellEnd"/>
      <w:r w:rsidRPr="00F32F35">
        <w:rPr>
          <w:sz w:val="28"/>
        </w:rPr>
        <w:t xml:space="preserve"> торф’яних населенню – </w:t>
      </w:r>
      <w:r w:rsidR="00D17630">
        <w:rPr>
          <w:sz w:val="28"/>
        </w:rPr>
        <w:br/>
      </w:r>
      <w:r w:rsidRPr="00F32F35">
        <w:rPr>
          <w:sz w:val="28"/>
        </w:rPr>
        <w:t>0,6 млн грн)</w:t>
      </w:r>
      <w:r w:rsidR="00D17630">
        <w:rPr>
          <w:sz w:val="28"/>
        </w:rPr>
        <w:t>.</w:t>
      </w:r>
    </w:p>
    <w:p w:rsidR="00F32F35" w:rsidRDefault="00F32F35" w:rsidP="00B2319F">
      <w:pPr>
        <w:tabs>
          <w:tab w:val="left" w:pos="993"/>
        </w:tabs>
        <w:ind w:firstLine="709"/>
        <w:jc w:val="both"/>
        <w:rPr>
          <w:sz w:val="28"/>
        </w:rPr>
      </w:pPr>
    </w:p>
    <w:p w:rsidR="00EA6659" w:rsidRDefault="00EA6659" w:rsidP="00B2319F">
      <w:pPr>
        <w:tabs>
          <w:tab w:val="left" w:pos="993"/>
        </w:tabs>
        <w:ind w:firstLine="709"/>
        <w:jc w:val="both"/>
        <w:rPr>
          <w:sz w:val="28"/>
        </w:rPr>
      </w:pPr>
      <w:r w:rsidRPr="00B57E6A">
        <w:rPr>
          <w:sz w:val="28"/>
        </w:rPr>
        <w:t xml:space="preserve">Реалізація дров населенню для побутових потреб </w:t>
      </w:r>
      <w:r w:rsidR="00B57E6A" w:rsidRPr="00B57E6A">
        <w:rPr>
          <w:sz w:val="28"/>
        </w:rPr>
        <w:t xml:space="preserve">здійснюється 9 філіями Державного підприємства «Ліси України»: </w:t>
      </w:r>
      <w:r w:rsidR="00445B1C">
        <w:rPr>
          <w:sz w:val="28"/>
        </w:rPr>
        <w:t>«</w:t>
      </w:r>
      <w:r w:rsidR="00B70B44">
        <w:rPr>
          <w:sz w:val="28"/>
        </w:rPr>
        <w:t>Висоцьке</w:t>
      </w:r>
      <w:r w:rsidR="00445B1C">
        <w:rPr>
          <w:sz w:val="28"/>
        </w:rPr>
        <w:t xml:space="preserve"> лісове господарство»</w:t>
      </w:r>
      <w:r w:rsidR="00B70B44">
        <w:rPr>
          <w:sz w:val="28"/>
        </w:rPr>
        <w:t xml:space="preserve">, </w:t>
      </w:r>
      <w:r w:rsidR="00445B1C">
        <w:rPr>
          <w:sz w:val="28"/>
        </w:rPr>
        <w:t>«</w:t>
      </w:r>
      <w:proofErr w:type="spellStart"/>
      <w:r w:rsidR="00B70B44">
        <w:rPr>
          <w:sz w:val="28"/>
        </w:rPr>
        <w:t>Дубенське</w:t>
      </w:r>
      <w:proofErr w:type="spellEnd"/>
      <w:r w:rsidR="00445B1C">
        <w:rPr>
          <w:sz w:val="28"/>
        </w:rPr>
        <w:t xml:space="preserve"> лісове господарство»</w:t>
      </w:r>
      <w:r w:rsidR="00B70B44">
        <w:rPr>
          <w:sz w:val="28"/>
        </w:rPr>
        <w:t xml:space="preserve">, </w:t>
      </w:r>
      <w:r w:rsidR="00445B1C">
        <w:rPr>
          <w:sz w:val="28"/>
        </w:rPr>
        <w:t>«</w:t>
      </w:r>
      <w:proofErr w:type="spellStart"/>
      <w:r w:rsidR="00B70B44">
        <w:rPr>
          <w:sz w:val="28"/>
        </w:rPr>
        <w:t>Рокитнівське</w:t>
      </w:r>
      <w:proofErr w:type="spellEnd"/>
      <w:r w:rsidR="00445B1C">
        <w:rPr>
          <w:sz w:val="28"/>
        </w:rPr>
        <w:t xml:space="preserve"> лісове господарство»</w:t>
      </w:r>
      <w:r w:rsidR="00B70B44">
        <w:rPr>
          <w:sz w:val="28"/>
        </w:rPr>
        <w:t xml:space="preserve">, </w:t>
      </w:r>
      <w:r w:rsidR="00445B1C">
        <w:rPr>
          <w:sz w:val="28"/>
        </w:rPr>
        <w:t>«</w:t>
      </w:r>
      <w:proofErr w:type="spellStart"/>
      <w:r w:rsidR="00B70B44">
        <w:rPr>
          <w:sz w:val="28"/>
        </w:rPr>
        <w:t>Костопільське</w:t>
      </w:r>
      <w:proofErr w:type="spellEnd"/>
      <w:r w:rsidR="00445B1C">
        <w:rPr>
          <w:sz w:val="28"/>
        </w:rPr>
        <w:t xml:space="preserve"> лісове господарство»</w:t>
      </w:r>
      <w:r w:rsidR="00B70B44">
        <w:rPr>
          <w:sz w:val="28"/>
        </w:rPr>
        <w:t xml:space="preserve">, </w:t>
      </w:r>
      <w:r w:rsidR="00445B1C">
        <w:rPr>
          <w:sz w:val="28"/>
        </w:rPr>
        <w:t>«</w:t>
      </w:r>
      <w:proofErr w:type="spellStart"/>
      <w:r w:rsidR="00B70B44">
        <w:rPr>
          <w:sz w:val="28"/>
        </w:rPr>
        <w:t>Рафалівське</w:t>
      </w:r>
      <w:proofErr w:type="spellEnd"/>
      <w:r w:rsidR="00445B1C">
        <w:rPr>
          <w:sz w:val="28"/>
        </w:rPr>
        <w:t xml:space="preserve"> лісове господарство»</w:t>
      </w:r>
      <w:r w:rsidR="00B70B44">
        <w:rPr>
          <w:sz w:val="28"/>
        </w:rPr>
        <w:t xml:space="preserve">, </w:t>
      </w:r>
      <w:r w:rsidR="00445B1C">
        <w:rPr>
          <w:sz w:val="28"/>
        </w:rPr>
        <w:t>«</w:t>
      </w:r>
      <w:proofErr w:type="spellStart"/>
      <w:r w:rsidR="00B70B44">
        <w:rPr>
          <w:sz w:val="28"/>
        </w:rPr>
        <w:t>Сарненське</w:t>
      </w:r>
      <w:proofErr w:type="spellEnd"/>
      <w:r w:rsidR="00445B1C">
        <w:rPr>
          <w:sz w:val="28"/>
        </w:rPr>
        <w:t xml:space="preserve"> лісове господарство»</w:t>
      </w:r>
      <w:r w:rsidR="00B70B44">
        <w:rPr>
          <w:sz w:val="28"/>
        </w:rPr>
        <w:t xml:space="preserve">, </w:t>
      </w:r>
      <w:r w:rsidR="00445B1C">
        <w:rPr>
          <w:sz w:val="28"/>
        </w:rPr>
        <w:t>«</w:t>
      </w:r>
      <w:proofErr w:type="spellStart"/>
      <w:r w:rsidR="00B70B44">
        <w:rPr>
          <w:sz w:val="28"/>
        </w:rPr>
        <w:t>Клесівське</w:t>
      </w:r>
      <w:proofErr w:type="spellEnd"/>
      <w:r w:rsidR="00445B1C">
        <w:rPr>
          <w:sz w:val="28"/>
        </w:rPr>
        <w:t xml:space="preserve"> лісове господарство»</w:t>
      </w:r>
      <w:r w:rsidR="00B70B44">
        <w:rPr>
          <w:sz w:val="28"/>
        </w:rPr>
        <w:t xml:space="preserve">, </w:t>
      </w:r>
      <w:r w:rsidR="00445B1C">
        <w:rPr>
          <w:sz w:val="28"/>
        </w:rPr>
        <w:t>«</w:t>
      </w:r>
      <w:proofErr w:type="spellStart"/>
      <w:r w:rsidR="00B70B44">
        <w:rPr>
          <w:sz w:val="28"/>
        </w:rPr>
        <w:t>Березнівське</w:t>
      </w:r>
      <w:proofErr w:type="spellEnd"/>
      <w:r w:rsidR="00445B1C">
        <w:rPr>
          <w:sz w:val="28"/>
        </w:rPr>
        <w:t xml:space="preserve"> лісове господарство»</w:t>
      </w:r>
      <w:r w:rsidR="00B70B44">
        <w:rPr>
          <w:sz w:val="28"/>
        </w:rPr>
        <w:t xml:space="preserve">, </w:t>
      </w:r>
      <w:r w:rsidR="00445B1C">
        <w:rPr>
          <w:sz w:val="28"/>
        </w:rPr>
        <w:t>«</w:t>
      </w:r>
      <w:proofErr w:type="spellStart"/>
      <w:r w:rsidR="00445B1C">
        <w:rPr>
          <w:sz w:val="28"/>
        </w:rPr>
        <w:t>Соснівське</w:t>
      </w:r>
      <w:proofErr w:type="spellEnd"/>
      <w:r w:rsidR="00445B1C">
        <w:rPr>
          <w:sz w:val="28"/>
        </w:rPr>
        <w:t xml:space="preserve"> лісове господарство»</w:t>
      </w:r>
      <w:r w:rsidR="00B70B44">
        <w:rPr>
          <w:sz w:val="28"/>
        </w:rPr>
        <w:t>.</w:t>
      </w:r>
    </w:p>
    <w:p w:rsidR="00CA7548" w:rsidRPr="00B57E6A" w:rsidRDefault="00CA7548" w:rsidP="00B2319F">
      <w:pPr>
        <w:tabs>
          <w:tab w:val="left" w:pos="993"/>
        </w:tabs>
        <w:ind w:firstLine="709"/>
        <w:jc w:val="both"/>
        <w:rPr>
          <w:sz w:val="28"/>
        </w:rPr>
      </w:pPr>
    </w:p>
    <w:tbl>
      <w:tblPr>
        <w:tblStyle w:val="a4"/>
        <w:tblW w:w="0" w:type="auto"/>
        <w:tblLook w:val="04A0" w:firstRow="1" w:lastRow="0" w:firstColumn="1" w:lastColumn="0" w:noHBand="0" w:noVBand="1"/>
      </w:tblPr>
      <w:tblGrid>
        <w:gridCol w:w="4248"/>
        <w:gridCol w:w="1276"/>
        <w:gridCol w:w="1275"/>
        <w:gridCol w:w="1276"/>
        <w:gridCol w:w="1553"/>
      </w:tblGrid>
      <w:tr w:rsidR="00E26CD7" w:rsidTr="00295735">
        <w:tc>
          <w:tcPr>
            <w:tcW w:w="4248" w:type="dxa"/>
          </w:tcPr>
          <w:p w:rsidR="00D17B9A" w:rsidRDefault="00D17B9A" w:rsidP="005104FB">
            <w:pPr>
              <w:tabs>
                <w:tab w:val="left" w:pos="993"/>
              </w:tabs>
              <w:rPr>
                <w:sz w:val="28"/>
              </w:rPr>
            </w:pPr>
          </w:p>
        </w:tc>
        <w:tc>
          <w:tcPr>
            <w:tcW w:w="1276" w:type="dxa"/>
            <w:shd w:val="clear" w:color="auto" w:fill="auto"/>
            <w:vAlign w:val="center"/>
          </w:tcPr>
          <w:p w:rsidR="00D17B9A" w:rsidRPr="00422521" w:rsidRDefault="00B70B44" w:rsidP="005104FB">
            <w:pPr>
              <w:tabs>
                <w:tab w:val="left" w:pos="993"/>
              </w:tabs>
              <w:jc w:val="center"/>
              <w:rPr>
                <w:b/>
                <w:sz w:val="27"/>
                <w:szCs w:val="27"/>
              </w:rPr>
            </w:pPr>
            <w:r>
              <w:rPr>
                <w:b/>
                <w:sz w:val="27"/>
                <w:szCs w:val="27"/>
              </w:rPr>
              <w:t>2020 рік</w:t>
            </w:r>
          </w:p>
        </w:tc>
        <w:tc>
          <w:tcPr>
            <w:tcW w:w="1275" w:type="dxa"/>
            <w:shd w:val="clear" w:color="auto" w:fill="auto"/>
            <w:vAlign w:val="center"/>
          </w:tcPr>
          <w:p w:rsidR="00D17B9A" w:rsidRPr="00422521" w:rsidRDefault="00B70B44" w:rsidP="005104FB">
            <w:pPr>
              <w:tabs>
                <w:tab w:val="left" w:pos="993"/>
              </w:tabs>
              <w:jc w:val="center"/>
              <w:rPr>
                <w:b/>
                <w:sz w:val="27"/>
                <w:szCs w:val="27"/>
              </w:rPr>
            </w:pPr>
            <w:r>
              <w:rPr>
                <w:b/>
                <w:sz w:val="27"/>
                <w:szCs w:val="27"/>
              </w:rPr>
              <w:t>2021 рік</w:t>
            </w:r>
          </w:p>
        </w:tc>
        <w:tc>
          <w:tcPr>
            <w:tcW w:w="1276" w:type="dxa"/>
            <w:shd w:val="clear" w:color="auto" w:fill="auto"/>
            <w:vAlign w:val="center"/>
          </w:tcPr>
          <w:p w:rsidR="00D17B9A" w:rsidRPr="00422521" w:rsidRDefault="00B70B44" w:rsidP="005104FB">
            <w:pPr>
              <w:tabs>
                <w:tab w:val="left" w:pos="993"/>
              </w:tabs>
              <w:jc w:val="center"/>
              <w:rPr>
                <w:b/>
                <w:sz w:val="27"/>
                <w:szCs w:val="27"/>
              </w:rPr>
            </w:pPr>
            <w:r>
              <w:rPr>
                <w:b/>
                <w:sz w:val="27"/>
                <w:szCs w:val="27"/>
              </w:rPr>
              <w:t>2022 рік</w:t>
            </w:r>
          </w:p>
        </w:tc>
        <w:tc>
          <w:tcPr>
            <w:tcW w:w="1553" w:type="dxa"/>
            <w:shd w:val="clear" w:color="auto" w:fill="auto"/>
            <w:vAlign w:val="center"/>
          </w:tcPr>
          <w:p w:rsidR="00D17B9A" w:rsidRPr="00422521" w:rsidRDefault="00B70B44" w:rsidP="005104FB">
            <w:pPr>
              <w:tabs>
                <w:tab w:val="left" w:pos="993"/>
              </w:tabs>
              <w:jc w:val="center"/>
              <w:rPr>
                <w:b/>
                <w:sz w:val="27"/>
                <w:szCs w:val="27"/>
              </w:rPr>
            </w:pPr>
            <w:r>
              <w:rPr>
                <w:b/>
                <w:sz w:val="27"/>
                <w:szCs w:val="27"/>
              </w:rPr>
              <w:t>І півріччя 2023 року</w:t>
            </w:r>
          </w:p>
        </w:tc>
      </w:tr>
      <w:tr w:rsidR="00295735" w:rsidRPr="0090770F" w:rsidTr="00295735">
        <w:trPr>
          <w:trHeight w:val="941"/>
        </w:trPr>
        <w:tc>
          <w:tcPr>
            <w:tcW w:w="4248" w:type="dxa"/>
          </w:tcPr>
          <w:p w:rsidR="00B70B44" w:rsidRPr="00295735" w:rsidRDefault="00B70B44" w:rsidP="005104FB">
            <w:pPr>
              <w:tabs>
                <w:tab w:val="left" w:pos="993"/>
              </w:tabs>
              <w:jc w:val="both"/>
              <w:rPr>
                <w:sz w:val="28"/>
                <w:szCs w:val="28"/>
              </w:rPr>
            </w:pPr>
            <w:r w:rsidRPr="00295735">
              <w:rPr>
                <w:sz w:val="28"/>
                <w:szCs w:val="28"/>
              </w:rPr>
              <w:t>Оптово-відпускна ціна на дров’яну деревину для побутових потреб населення, грн /м</w:t>
            </w:r>
            <w:r w:rsidRPr="00295735">
              <w:rPr>
                <w:sz w:val="28"/>
                <w:szCs w:val="28"/>
                <w:vertAlign w:val="superscript"/>
              </w:rPr>
              <w:t>3</w:t>
            </w:r>
            <w:r w:rsidR="0031350A" w:rsidRPr="00295735">
              <w:rPr>
                <w:sz w:val="28"/>
                <w:szCs w:val="28"/>
              </w:rPr>
              <w:t xml:space="preserve"> (з ПДВ)</w:t>
            </w:r>
          </w:p>
        </w:tc>
        <w:tc>
          <w:tcPr>
            <w:tcW w:w="1276" w:type="dxa"/>
            <w:shd w:val="clear" w:color="auto" w:fill="auto"/>
          </w:tcPr>
          <w:p w:rsidR="00B70B44" w:rsidRPr="0090770F" w:rsidRDefault="0031350A" w:rsidP="005104FB">
            <w:pPr>
              <w:tabs>
                <w:tab w:val="left" w:pos="993"/>
              </w:tabs>
              <w:jc w:val="center"/>
              <w:rPr>
                <w:sz w:val="27"/>
                <w:szCs w:val="27"/>
              </w:rPr>
            </w:pPr>
            <w:r>
              <w:rPr>
                <w:sz w:val="27"/>
                <w:szCs w:val="27"/>
              </w:rPr>
              <w:t>263,66</w:t>
            </w:r>
            <w:r w:rsidR="00B70B44">
              <w:rPr>
                <w:sz w:val="27"/>
                <w:szCs w:val="27"/>
              </w:rPr>
              <w:t>-</w:t>
            </w:r>
            <w:r w:rsidR="00E26CD7">
              <w:rPr>
                <w:sz w:val="27"/>
                <w:szCs w:val="27"/>
              </w:rPr>
              <w:t>421,60</w:t>
            </w:r>
          </w:p>
        </w:tc>
        <w:tc>
          <w:tcPr>
            <w:tcW w:w="1275" w:type="dxa"/>
            <w:shd w:val="clear" w:color="auto" w:fill="auto"/>
          </w:tcPr>
          <w:p w:rsidR="00B70B44" w:rsidRPr="00E26CD7" w:rsidRDefault="00E26CD7" w:rsidP="005104FB">
            <w:pPr>
              <w:tabs>
                <w:tab w:val="left" w:pos="993"/>
              </w:tabs>
              <w:jc w:val="center"/>
              <w:rPr>
                <w:sz w:val="27"/>
                <w:szCs w:val="27"/>
              </w:rPr>
            </w:pPr>
            <w:r>
              <w:rPr>
                <w:sz w:val="27"/>
                <w:szCs w:val="27"/>
              </w:rPr>
              <w:t>350,00-</w:t>
            </w:r>
            <w:r w:rsidRPr="00E26CD7">
              <w:rPr>
                <w:sz w:val="27"/>
                <w:szCs w:val="27"/>
              </w:rPr>
              <w:t>658,20</w:t>
            </w:r>
          </w:p>
        </w:tc>
        <w:tc>
          <w:tcPr>
            <w:tcW w:w="1276" w:type="dxa"/>
            <w:shd w:val="clear" w:color="auto" w:fill="auto"/>
          </w:tcPr>
          <w:p w:rsidR="00B70B44" w:rsidRPr="0090770F" w:rsidRDefault="00E26CD7" w:rsidP="005104FB">
            <w:pPr>
              <w:tabs>
                <w:tab w:val="left" w:pos="993"/>
              </w:tabs>
              <w:ind w:right="-108"/>
              <w:jc w:val="center"/>
              <w:rPr>
                <w:sz w:val="27"/>
                <w:szCs w:val="27"/>
              </w:rPr>
            </w:pPr>
            <w:r>
              <w:rPr>
                <w:sz w:val="27"/>
                <w:szCs w:val="27"/>
              </w:rPr>
              <w:t>355,00-1055,40</w:t>
            </w:r>
          </w:p>
        </w:tc>
        <w:tc>
          <w:tcPr>
            <w:tcW w:w="1553" w:type="dxa"/>
            <w:shd w:val="clear" w:color="auto" w:fill="auto"/>
          </w:tcPr>
          <w:p w:rsidR="00B70B44" w:rsidRPr="00E26CD7" w:rsidRDefault="00E26CD7" w:rsidP="005104FB">
            <w:pPr>
              <w:tabs>
                <w:tab w:val="left" w:pos="993"/>
              </w:tabs>
              <w:jc w:val="center"/>
              <w:rPr>
                <w:sz w:val="27"/>
                <w:szCs w:val="27"/>
              </w:rPr>
            </w:pPr>
            <w:r w:rsidRPr="00E26CD7">
              <w:rPr>
                <w:sz w:val="27"/>
                <w:szCs w:val="27"/>
              </w:rPr>
              <w:t>570,00-</w:t>
            </w:r>
            <w:r>
              <w:rPr>
                <w:sz w:val="27"/>
                <w:szCs w:val="27"/>
              </w:rPr>
              <w:t>1104,40</w:t>
            </w:r>
          </w:p>
        </w:tc>
      </w:tr>
      <w:tr w:rsidR="00E26CD7" w:rsidRPr="0090770F" w:rsidTr="00295735">
        <w:tc>
          <w:tcPr>
            <w:tcW w:w="4248" w:type="dxa"/>
          </w:tcPr>
          <w:p w:rsidR="00D17B9A" w:rsidRPr="00295735" w:rsidRDefault="00D17B9A" w:rsidP="005104FB">
            <w:pPr>
              <w:tabs>
                <w:tab w:val="left" w:pos="993"/>
              </w:tabs>
              <w:jc w:val="both"/>
              <w:rPr>
                <w:sz w:val="28"/>
                <w:szCs w:val="28"/>
              </w:rPr>
            </w:pPr>
            <w:r w:rsidRPr="00295735">
              <w:rPr>
                <w:sz w:val="28"/>
                <w:szCs w:val="28"/>
              </w:rPr>
              <w:t>Реалізовано продукції для побутових потреб населення, тис.м</w:t>
            </w:r>
            <w:r w:rsidRPr="00295735">
              <w:rPr>
                <w:sz w:val="28"/>
                <w:szCs w:val="28"/>
                <w:vertAlign w:val="superscript"/>
              </w:rPr>
              <w:t>3</w:t>
            </w:r>
          </w:p>
        </w:tc>
        <w:tc>
          <w:tcPr>
            <w:tcW w:w="1276" w:type="dxa"/>
            <w:shd w:val="clear" w:color="auto" w:fill="auto"/>
          </w:tcPr>
          <w:p w:rsidR="00D17B9A" w:rsidRPr="0090770F" w:rsidRDefault="00CA3EEB" w:rsidP="005104FB">
            <w:pPr>
              <w:tabs>
                <w:tab w:val="left" w:pos="993"/>
              </w:tabs>
              <w:jc w:val="center"/>
              <w:rPr>
                <w:sz w:val="27"/>
                <w:szCs w:val="27"/>
              </w:rPr>
            </w:pPr>
            <w:r>
              <w:rPr>
                <w:sz w:val="27"/>
                <w:szCs w:val="27"/>
              </w:rPr>
              <w:t>100,1</w:t>
            </w:r>
          </w:p>
        </w:tc>
        <w:tc>
          <w:tcPr>
            <w:tcW w:w="1275" w:type="dxa"/>
            <w:shd w:val="clear" w:color="auto" w:fill="auto"/>
          </w:tcPr>
          <w:p w:rsidR="00D17B9A" w:rsidRPr="0090770F" w:rsidRDefault="00CA3EEB" w:rsidP="005104FB">
            <w:pPr>
              <w:tabs>
                <w:tab w:val="left" w:pos="993"/>
              </w:tabs>
              <w:jc w:val="center"/>
              <w:rPr>
                <w:sz w:val="27"/>
                <w:szCs w:val="27"/>
              </w:rPr>
            </w:pPr>
            <w:r>
              <w:rPr>
                <w:sz w:val="27"/>
                <w:szCs w:val="27"/>
              </w:rPr>
              <w:t>129,1</w:t>
            </w:r>
          </w:p>
        </w:tc>
        <w:tc>
          <w:tcPr>
            <w:tcW w:w="1276" w:type="dxa"/>
            <w:shd w:val="clear" w:color="auto" w:fill="auto"/>
          </w:tcPr>
          <w:p w:rsidR="00D17B9A" w:rsidRPr="0090770F" w:rsidRDefault="00CA3EEB" w:rsidP="005104FB">
            <w:pPr>
              <w:tabs>
                <w:tab w:val="left" w:pos="993"/>
              </w:tabs>
              <w:jc w:val="center"/>
              <w:rPr>
                <w:sz w:val="27"/>
                <w:szCs w:val="27"/>
              </w:rPr>
            </w:pPr>
            <w:r>
              <w:rPr>
                <w:sz w:val="27"/>
                <w:szCs w:val="27"/>
              </w:rPr>
              <w:t>202,1</w:t>
            </w:r>
          </w:p>
        </w:tc>
        <w:tc>
          <w:tcPr>
            <w:tcW w:w="1553" w:type="dxa"/>
            <w:shd w:val="clear" w:color="auto" w:fill="auto"/>
          </w:tcPr>
          <w:p w:rsidR="00D17B9A" w:rsidRPr="0090770F" w:rsidRDefault="00CA3EEB" w:rsidP="005104FB">
            <w:pPr>
              <w:tabs>
                <w:tab w:val="left" w:pos="993"/>
              </w:tabs>
              <w:jc w:val="center"/>
              <w:rPr>
                <w:sz w:val="27"/>
                <w:szCs w:val="27"/>
              </w:rPr>
            </w:pPr>
            <w:r>
              <w:rPr>
                <w:sz w:val="27"/>
                <w:szCs w:val="27"/>
              </w:rPr>
              <w:t>71,5</w:t>
            </w:r>
          </w:p>
        </w:tc>
      </w:tr>
      <w:tr w:rsidR="00E26CD7" w:rsidRPr="0090770F" w:rsidTr="00295735">
        <w:tc>
          <w:tcPr>
            <w:tcW w:w="4248" w:type="dxa"/>
          </w:tcPr>
          <w:p w:rsidR="00D17B9A" w:rsidRPr="00295735" w:rsidRDefault="00D17B9A" w:rsidP="005104FB">
            <w:pPr>
              <w:tabs>
                <w:tab w:val="left" w:pos="993"/>
              </w:tabs>
              <w:jc w:val="both"/>
              <w:rPr>
                <w:sz w:val="28"/>
                <w:szCs w:val="28"/>
              </w:rPr>
            </w:pPr>
            <w:r w:rsidRPr="00295735">
              <w:rPr>
                <w:sz w:val="28"/>
                <w:szCs w:val="28"/>
              </w:rPr>
              <w:t>Частка реалізованої продукції для побутових потреб населення у загальному обсязі реалізації, %</w:t>
            </w:r>
          </w:p>
        </w:tc>
        <w:tc>
          <w:tcPr>
            <w:tcW w:w="1276" w:type="dxa"/>
            <w:shd w:val="clear" w:color="auto" w:fill="auto"/>
          </w:tcPr>
          <w:p w:rsidR="00D17B9A" w:rsidRPr="0090770F" w:rsidRDefault="00CA3EEB" w:rsidP="005104FB">
            <w:pPr>
              <w:tabs>
                <w:tab w:val="left" w:pos="993"/>
              </w:tabs>
              <w:jc w:val="center"/>
              <w:rPr>
                <w:sz w:val="27"/>
                <w:szCs w:val="27"/>
              </w:rPr>
            </w:pPr>
            <w:r>
              <w:rPr>
                <w:sz w:val="27"/>
                <w:szCs w:val="27"/>
              </w:rPr>
              <w:t>86,7</w:t>
            </w:r>
          </w:p>
        </w:tc>
        <w:tc>
          <w:tcPr>
            <w:tcW w:w="1275" w:type="dxa"/>
            <w:shd w:val="clear" w:color="auto" w:fill="auto"/>
          </w:tcPr>
          <w:p w:rsidR="00D17B9A" w:rsidRPr="0090770F" w:rsidRDefault="00CA3EEB" w:rsidP="005104FB">
            <w:pPr>
              <w:tabs>
                <w:tab w:val="left" w:pos="993"/>
              </w:tabs>
              <w:jc w:val="center"/>
              <w:rPr>
                <w:sz w:val="27"/>
                <w:szCs w:val="27"/>
              </w:rPr>
            </w:pPr>
            <w:r>
              <w:rPr>
                <w:sz w:val="27"/>
                <w:szCs w:val="27"/>
              </w:rPr>
              <w:t>86,1</w:t>
            </w:r>
          </w:p>
        </w:tc>
        <w:tc>
          <w:tcPr>
            <w:tcW w:w="1276" w:type="dxa"/>
            <w:shd w:val="clear" w:color="auto" w:fill="auto"/>
          </w:tcPr>
          <w:p w:rsidR="00D17B9A" w:rsidRPr="0090770F" w:rsidRDefault="00CA3EEB" w:rsidP="005104FB">
            <w:pPr>
              <w:tabs>
                <w:tab w:val="left" w:pos="993"/>
              </w:tabs>
              <w:jc w:val="center"/>
              <w:rPr>
                <w:sz w:val="27"/>
                <w:szCs w:val="27"/>
              </w:rPr>
            </w:pPr>
            <w:r>
              <w:rPr>
                <w:sz w:val="27"/>
                <w:szCs w:val="27"/>
              </w:rPr>
              <w:t>81,7</w:t>
            </w:r>
          </w:p>
        </w:tc>
        <w:tc>
          <w:tcPr>
            <w:tcW w:w="1553" w:type="dxa"/>
            <w:shd w:val="clear" w:color="auto" w:fill="auto"/>
          </w:tcPr>
          <w:p w:rsidR="00D17B9A" w:rsidRPr="0090770F" w:rsidRDefault="00CA3EEB" w:rsidP="005104FB">
            <w:pPr>
              <w:tabs>
                <w:tab w:val="left" w:pos="993"/>
              </w:tabs>
              <w:jc w:val="center"/>
              <w:rPr>
                <w:sz w:val="27"/>
                <w:szCs w:val="27"/>
              </w:rPr>
            </w:pPr>
            <w:r>
              <w:rPr>
                <w:sz w:val="27"/>
                <w:szCs w:val="27"/>
              </w:rPr>
              <w:t>84,5</w:t>
            </w:r>
          </w:p>
        </w:tc>
      </w:tr>
    </w:tbl>
    <w:p w:rsidR="00C248E8" w:rsidRDefault="00C248E8" w:rsidP="00EA6659">
      <w:pPr>
        <w:tabs>
          <w:tab w:val="left" w:pos="993"/>
        </w:tabs>
        <w:ind w:firstLine="709"/>
        <w:jc w:val="both"/>
        <w:rPr>
          <w:noProof/>
          <w:sz w:val="28"/>
          <w:szCs w:val="20"/>
        </w:rPr>
      </w:pPr>
      <w:r>
        <w:rPr>
          <w:noProof/>
          <w:sz w:val="28"/>
          <w:szCs w:val="20"/>
        </w:rPr>
        <w:lastRenderedPageBreak/>
        <w:t>Продукція лісозаготівель виготовляється в єдиному технологічному процесі і фактична собівартість лісопродукції обліковується в розрахунку на знеособлений кубічний метр деревини, без деференціації за асортиментом та розміром.</w:t>
      </w:r>
    </w:p>
    <w:p w:rsidR="00D17B9A" w:rsidRDefault="00C248E8" w:rsidP="00EA6659">
      <w:pPr>
        <w:tabs>
          <w:tab w:val="left" w:pos="993"/>
        </w:tabs>
        <w:ind w:firstLine="709"/>
        <w:jc w:val="both"/>
        <w:rPr>
          <w:noProof/>
          <w:sz w:val="28"/>
          <w:szCs w:val="20"/>
        </w:rPr>
      </w:pPr>
      <w:r>
        <w:rPr>
          <w:noProof/>
          <w:sz w:val="28"/>
          <w:szCs w:val="20"/>
        </w:rPr>
        <w:t>За інформацію лісових господарств</w:t>
      </w:r>
      <w:r w:rsidR="00445B1C">
        <w:rPr>
          <w:noProof/>
          <w:sz w:val="28"/>
          <w:szCs w:val="20"/>
        </w:rPr>
        <w:t>,</w:t>
      </w:r>
      <w:r>
        <w:rPr>
          <w:noProof/>
          <w:sz w:val="28"/>
          <w:szCs w:val="20"/>
        </w:rPr>
        <w:t xml:space="preserve"> </w:t>
      </w:r>
      <w:r w:rsidR="00445B1C">
        <w:rPr>
          <w:noProof/>
          <w:sz w:val="28"/>
          <w:szCs w:val="20"/>
        </w:rPr>
        <w:t>у звітному періоді 6</w:t>
      </w:r>
      <w:r>
        <w:rPr>
          <w:noProof/>
          <w:sz w:val="28"/>
          <w:szCs w:val="20"/>
        </w:rPr>
        <w:t xml:space="preserve"> підприємств мали прибутковий результат </w:t>
      </w:r>
      <w:r w:rsidR="00CA7858">
        <w:rPr>
          <w:noProof/>
          <w:sz w:val="28"/>
          <w:szCs w:val="20"/>
        </w:rPr>
        <w:t xml:space="preserve">діяльності </w:t>
      </w:r>
      <w:r>
        <w:rPr>
          <w:noProof/>
          <w:sz w:val="28"/>
          <w:szCs w:val="20"/>
        </w:rPr>
        <w:t>(</w:t>
      </w:r>
      <w:r w:rsidR="00CA7858">
        <w:rPr>
          <w:noProof/>
          <w:sz w:val="28"/>
          <w:szCs w:val="20"/>
        </w:rPr>
        <w:t xml:space="preserve">«Березнівське лісове господарство», «Висоцьке лісове господарство», «Дубенське лісове господарство», «Клесівське лісове господарство», «Рокитнівське лісове господарство», </w:t>
      </w:r>
      <w:r>
        <w:rPr>
          <w:noProof/>
          <w:sz w:val="28"/>
          <w:szCs w:val="20"/>
        </w:rPr>
        <w:t>«Соснівське лісове господарство»</w:t>
      </w:r>
      <w:r w:rsidR="00CA7858">
        <w:rPr>
          <w:noProof/>
          <w:sz w:val="28"/>
          <w:szCs w:val="20"/>
        </w:rPr>
        <w:t>). Рівень рентадбності в ціні реалізації дров для населення становив від 0,1 відс. до 5 відс.</w:t>
      </w:r>
    </w:p>
    <w:p w:rsidR="00CA7858" w:rsidRDefault="00295735" w:rsidP="00EA6659">
      <w:pPr>
        <w:tabs>
          <w:tab w:val="left" w:pos="993"/>
        </w:tabs>
        <w:ind w:firstLine="709"/>
        <w:jc w:val="both"/>
        <w:rPr>
          <w:noProof/>
          <w:sz w:val="28"/>
          <w:szCs w:val="20"/>
        </w:rPr>
      </w:pPr>
      <w:r>
        <w:rPr>
          <w:noProof/>
          <w:sz w:val="28"/>
          <w:szCs w:val="20"/>
        </w:rPr>
        <w:t xml:space="preserve">Основними </w:t>
      </w:r>
      <w:r w:rsidR="00FC3497">
        <w:rPr>
          <w:noProof/>
          <w:sz w:val="28"/>
          <w:szCs w:val="20"/>
        </w:rPr>
        <w:t>чинниками підвищення вартості дров є зростання складових собівартості заготівлі (зокрема, витрат на паливно-мастильні та інші витратні матеріали, заробітну плату) та збільшення ставки податку за спеціальне використання лісових ресурсів.</w:t>
      </w:r>
    </w:p>
    <w:p w:rsidR="00FC3497" w:rsidRDefault="00FC3497" w:rsidP="00EA6659">
      <w:pPr>
        <w:tabs>
          <w:tab w:val="left" w:pos="993"/>
        </w:tabs>
        <w:ind w:firstLine="709"/>
        <w:jc w:val="both"/>
        <w:rPr>
          <w:noProof/>
          <w:sz w:val="28"/>
          <w:szCs w:val="20"/>
        </w:rPr>
      </w:pPr>
    </w:p>
    <w:p w:rsidR="00EA6659" w:rsidRPr="00091449" w:rsidRDefault="00EA6659" w:rsidP="00EA6659">
      <w:pPr>
        <w:numPr>
          <w:ilvl w:val="1"/>
          <w:numId w:val="1"/>
        </w:numPr>
        <w:tabs>
          <w:tab w:val="clear" w:pos="2160"/>
          <w:tab w:val="left" w:pos="993"/>
        </w:tabs>
        <w:ind w:left="0" w:firstLine="709"/>
        <w:jc w:val="both"/>
        <w:rPr>
          <w:b/>
          <w:sz w:val="28"/>
          <w:szCs w:val="28"/>
        </w:rPr>
      </w:pPr>
      <w:r w:rsidRPr="00091449">
        <w:rPr>
          <w:b/>
          <w:bCs/>
          <w:sz w:val="28"/>
          <w:szCs w:val="28"/>
        </w:rPr>
        <w:t xml:space="preserve">Оцінка результатів реалізації регуляторного </w:t>
      </w:r>
      <w:proofErr w:type="spellStart"/>
      <w:r w:rsidRPr="00091449">
        <w:rPr>
          <w:b/>
          <w:bCs/>
          <w:sz w:val="28"/>
          <w:szCs w:val="28"/>
        </w:rPr>
        <w:t>акта</w:t>
      </w:r>
      <w:proofErr w:type="spellEnd"/>
      <w:r w:rsidRPr="00091449">
        <w:rPr>
          <w:b/>
          <w:bCs/>
          <w:sz w:val="28"/>
          <w:szCs w:val="28"/>
        </w:rPr>
        <w:t xml:space="preserve"> та ступеня досягнення визначених цілей</w:t>
      </w:r>
    </w:p>
    <w:p w:rsidR="00EA6659" w:rsidRPr="00091449" w:rsidRDefault="00CA7548" w:rsidP="00EA6659">
      <w:pPr>
        <w:tabs>
          <w:tab w:val="left" w:pos="993"/>
        </w:tabs>
        <w:ind w:firstLine="709"/>
        <w:jc w:val="both"/>
        <w:rPr>
          <w:noProof/>
          <w:sz w:val="28"/>
        </w:rPr>
      </w:pPr>
      <w:r>
        <w:rPr>
          <w:noProof/>
          <w:sz w:val="28"/>
        </w:rPr>
        <w:t>Реалізація розпорядження</w:t>
      </w:r>
      <w:r w:rsidR="00EA6659" w:rsidRPr="00091449">
        <w:rPr>
          <w:noProof/>
          <w:sz w:val="28"/>
        </w:rPr>
        <w:t xml:space="preserve"> стримує необгрунтоване зростання цін на окремі види паливно-ен</w:t>
      </w:r>
      <w:r>
        <w:rPr>
          <w:noProof/>
          <w:sz w:val="28"/>
        </w:rPr>
        <w:t>ергетичних ресурсів, що відпускаються</w:t>
      </w:r>
      <w:r w:rsidR="006A10E6">
        <w:rPr>
          <w:noProof/>
          <w:sz w:val="28"/>
        </w:rPr>
        <w:t xml:space="preserve"> населенню для побутових потреб</w:t>
      </w:r>
      <w:r>
        <w:rPr>
          <w:noProof/>
          <w:sz w:val="28"/>
        </w:rPr>
        <w:t>.</w:t>
      </w:r>
    </w:p>
    <w:p w:rsidR="00091449" w:rsidRPr="00091449" w:rsidRDefault="00091449" w:rsidP="00091449">
      <w:pPr>
        <w:tabs>
          <w:tab w:val="left" w:pos="993"/>
        </w:tabs>
        <w:ind w:firstLine="709"/>
        <w:jc w:val="both"/>
        <w:rPr>
          <w:noProof/>
          <w:sz w:val="28"/>
          <w:szCs w:val="20"/>
        </w:rPr>
      </w:pPr>
      <w:r w:rsidRPr="00091449">
        <w:rPr>
          <w:noProof/>
          <w:sz w:val="28"/>
          <w:szCs w:val="20"/>
        </w:rPr>
        <w:t>У червні 2021 року Головним управлінням Держпродспоживслужби в Рівненській області проведено 1 плановий захід, за результатами якого виявлено порушення державної дисципліни цін під час формування та зстосування тарифів на деревину дров’яну (дрова) для непромислового використання. Суб’єктом господарювання застосовано економічно необгрунтовані ціни на дрова (рентабельність, закладена в розрахунку перевищувала встановлений граничний рівень). На суб’єкта господарювання накладено штраф за порушення державної дисципліни цін.</w:t>
      </w:r>
    </w:p>
    <w:p w:rsidR="00091449" w:rsidRPr="00091449" w:rsidRDefault="00091449" w:rsidP="00091449">
      <w:pPr>
        <w:tabs>
          <w:tab w:val="left" w:pos="993"/>
        </w:tabs>
        <w:ind w:firstLine="709"/>
        <w:jc w:val="both"/>
        <w:rPr>
          <w:noProof/>
          <w:sz w:val="28"/>
          <w:szCs w:val="20"/>
        </w:rPr>
      </w:pPr>
      <w:r w:rsidRPr="00091449">
        <w:rPr>
          <w:noProof/>
          <w:sz w:val="28"/>
          <w:szCs w:val="20"/>
        </w:rPr>
        <w:t>Протягом 2022-2023 років заходи державного нагляду (контролю) за дотриманням суб’єктами господарювання державної дисципліни цін при формуванні, встановленні та застосуванні цін на паливно-енергетичні ресурси, що відпускаються населенню для побутових потреб, не проводилися.</w:t>
      </w:r>
    </w:p>
    <w:p w:rsidR="00EA6659" w:rsidRPr="00091449" w:rsidRDefault="00091449" w:rsidP="00EA6659">
      <w:pPr>
        <w:tabs>
          <w:tab w:val="left" w:pos="993"/>
        </w:tabs>
        <w:ind w:firstLine="709"/>
        <w:jc w:val="both"/>
        <w:rPr>
          <w:sz w:val="28"/>
        </w:rPr>
      </w:pPr>
      <w:r>
        <w:rPr>
          <w:sz w:val="28"/>
        </w:rPr>
        <w:t>Регуляторний акт внесення змін чи доповнень до нього не потребує.</w:t>
      </w:r>
    </w:p>
    <w:p w:rsidR="00EA6659" w:rsidRPr="00091449" w:rsidRDefault="00EA6659" w:rsidP="00310D4D">
      <w:pPr>
        <w:tabs>
          <w:tab w:val="left" w:pos="993"/>
        </w:tabs>
        <w:jc w:val="both"/>
        <w:rPr>
          <w:sz w:val="28"/>
        </w:rPr>
      </w:pPr>
    </w:p>
    <w:p w:rsidR="00310D4D" w:rsidRDefault="00310D4D" w:rsidP="00310D4D">
      <w:pPr>
        <w:tabs>
          <w:tab w:val="left" w:pos="993"/>
        </w:tabs>
        <w:jc w:val="both"/>
        <w:rPr>
          <w:sz w:val="28"/>
        </w:rPr>
      </w:pPr>
    </w:p>
    <w:p w:rsidR="00295735" w:rsidRPr="00EA6659" w:rsidRDefault="00295735" w:rsidP="00310D4D">
      <w:pPr>
        <w:tabs>
          <w:tab w:val="left" w:pos="993"/>
        </w:tabs>
        <w:jc w:val="both"/>
        <w:rPr>
          <w:sz w:val="28"/>
        </w:rPr>
      </w:pPr>
    </w:p>
    <w:p w:rsidR="00310D4D" w:rsidRPr="00310D4D" w:rsidRDefault="00310D4D" w:rsidP="00310D4D">
      <w:pPr>
        <w:jc w:val="both"/>
        <w:rPr>
          <w:sz w:val="28"/>
        </w:rPr>
      </w:pPr>
      <w:r w:rsidRPr="00310D4D">
        <w:rPr>
          <w:sz w:val="28"/>
        </w:rPr>
        <w:t>Начальник Рівненської обласної</w:t>
      </w:r>
    </w:p>
    <w:p w:rsidR="00EA6659" w:rsidRPr="00EA6659" w:rsidRDefault="00310D4D" w:rsidP="00310D4D">
      <w:pPr>
        <w:jc w:val="both"/>
        <w:rPr>
          <w:sz w:val="28"/>
        </w:rPr>
      </w:pPr>
      <w:r w:rsidRPr="00310D4D">
        <w:rPr>
          <w:sz w:val="28"/>
        </w:rPr>
        <w:t>військової адміністрації</w:t>
      </w:r>
      <w:r w:rsidRPr="00310D4D">
        <w:rPr>
          <w:sz w:val="28"/>
        </w:rPr>
        <w:tab/>
      </w:r>
      <w:r w:rsidRPr="00310D4D">
        <w:rPr>
          <w:sz w:val="28"/>
        </w:rPr>
        <w:tab/>
      </w:r>
      <w:r w:rsidRPr="00310D4D">
        <w:rPr>
          <w:sz w:val="28"/>
        </w:rPr>
        <w:tab/>
      </w:r>
      <w:r w:rsidRPr="00310D4D">
        <w:rPr>
          <w:sz w:val="28"/>
        </w:rPr>
        <w:tab/>
      </w:r>
      <w:r w:rsidRPr="00310D4D">
        <w:rPr>
          <w:sz w:val="28"/>
        </w:rPr>
        <w:tab/>
      </w:r>
      <w:r w:rsidRPr="00310D4D">
        <w:rPr>
          <w:sz w:val="28"/>
        </w:rPr>
        <w:tab/>
        <w:t>Віталій КОВАЛЬ</w:t>
      </w:r>
    </w:p>
    <w:p w:rsidR="00EA6659" w:rsidRDefault="00EA6659" w:rsidP="00EA6659">
      <w:pPr>
        <w:jc w:val="both"/>
        <w:rPr>
          <w:sz w:val="28"/>
        </w:rPr>
      </w:pPr>
    </w:p>
    <w:p w:rsidR="00295735" w:rsidRDefault="00295735" w:rsidP="00EA6659">
      <w:pPr>
        <w:jc w:val="both"/>
        <w:rPr>
          <w:sz w:val="28"/>
        </w:rPr>
      </w:pPr>
    </w:p>
    <w:p w:rsidR="006A10E6" w:rsidRDefault="006A10E6" w:rsidP="00EA6659">
      <w:pPr>
        <w:jc w:val="both"/>
        <w:rPr>
          <w:sz w:val="28"/>
        </w:rPr>
      </w:pPr>
    </w:p>
    <w:p w:rsidR="00295735" w:rsidRDefault="00295735" w:rsidP="00EA6659">
      <w:pPr>
        <w:jc w:val="both"/>
        <w:rPr>
          <w:sz w:val="28"/>
        </w:rPr>
      </w:pPr>
    </w:p>
    <w:p w:rsidR="00295735" w:rsidRPr="00EA6659" w:rsidRDefault="00295735" w:rsidP="00EA6659">
      <w:pPr>
        <w:jc w:val="both"/>
        <w:rPr>
          <w:sz w:val="28"/>
        </w:rPr>
      </w:pPr>
    </w:p>
    <w:p w:rsidR="00506BDB" w:rsidRDefault="004E38BC" w:rsidP="004E38BC">
      <w:pPr>
        <w:jc w:val="both"/>
      </w:pPr>
      <w:r>
        <w:rPr>
          <w:sz w:val="16"/>
          <w:szCs w:val="16"/>
        </w:rPr>
        <w:t>7-6324</w:t>
      </w:r>
    </w:p>
    <w:sectPr w:rsidR="00506BDB" w:rsidSect="00FB4FE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16EFD"/>
    <w:multiLevelType w:val="hybridMultilevel"/>
    <w:tmpl w:val="860ABC42"/>
    <w:lvl w:ilvl="0" w:tplc="0422000F">
      <w:start w:val="1"/>
      <w:numFmt w:val="decimal"/>
      <w:lvlText w:val="%1."/>
      <w:lvlJc w:val="left"/>
      <w:pPr>
        <w:tabs>
          <w:tab w:val="num" w:pos="2160"/>
        </w:tabs>
        <w:ind w:left="2160" w:hanging="360"/>
      </w:pPr>
    </w:lvl>
    <w:lvl w:ilvl="1" w:tplc="B5BEB844">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E5"/>
    <w:rsid w:val="000332E9"/>
    <w:rsid w:val="00042F2F"/>
    <w:rsid w:val="000437D8"/>
    <w:rsid w:val="0005525D"/>
    <w:rsid w:val="00091449"/>
    <w:rsid w:val="000A48E1"/>
    <w:rsid w:val="000C7E22"/>
    <w:rsid w:val="000D7DED"/>
    <w:rsid w:val="000F329C"/>
    <w:rsid w:val="00125539"/>
    <w:rsid w:val="001262BC"/>
    <w:rsid w:val="00137FE5"/>
    <w:rsid w:val="001455B3"/>
    <w:rsid w:val="001545A9"/>
    <w:rsid w:val="00160ED5"/>
    <w:rsid w:val="001B3BD5"/>
    <w:rsid w:val="001D3BAB"/>
    <w:rsid w:val="001E2A02"/>
    <w:rsid w:val="00252CA6"/>
    <w:rsid w:val="0026758C"/>
    <w:rsid w:val="002851FD"/>
    <w:rsid w:val="00295735"/>
    <w:rsid w:val="002B31BA"/>
    <w:rsid w:val="002E3311"/>
    <w:rsid w:val="00310D4D"/>
    <w:rsid w:val="0031350A"/>
    <w:rsid w:val="00347B88"/>
    <w:rsid w:val="003731CB"/>
    <w:rsid w:val="003B59BF"/>
    <w:rsid w:val="003E0078"/>
    <w:rsid w:val="003F68C6"/>
    <w:rsid w:val="00407841"/>
    <w:rsid w:val="004140B6"/>
    <w:rsid w:val="00431160"/>
    <w:rsid w:val="00445B1C"/>
    <w:rsid w:val="004B1690"/>
    <w:rsid w:val="004D455F"/>
    <w:rsid w:val="004E38BC"/>
    <w:rsid w:val="00506BDB"/>
    <w:rsid w:val="00576337"/>
    <w:rsid w:val="005F172D"/>
    <w:rsid w:val="00637263"/>
    <w:rsid w:val="006423D5"/>
    <w:rsid w:val="006918BD"/>
    <w:rsid w:val="006A10E6"/>
    <w:rsid w:val="00711525"/>
    <w:rsid w:val="00717810"/>
    <w:rsid w:val="00785FBE"/>
    <w:rsid w:val="007A7C38"/>
    <w:rsid w:val="00802204"/>
    <w:rsid w:val="00817EB3"/>
    <w:rsid w:val="00857105"/>
    <w:rsid w:val="008E719D"/>
    <w:rsid w:val="00906329"/>
    <w:rsid w:val="00947606"/>
    <w:rsid w:val="009A1077"/>
    <w:rsid w:val="009E1EBA"/>
    <w:rsid w:val="009E270F"/>
    <w:rsid w:val="00A14313"/>
    <w:rsid w:val="00A31ACD"/>
    <w:rsid w:val="00AB6046"/>
    <w:rsid w:val="00AB6455"/>
    <w:rsid w:val="00AD41CC"/>
    <w:rsid w:val="00B2319F"/>
    <w:rsid w:val="00B31773"/>
    <w:rsid w:val="00B3371F"/>
    <w:rsid w:val="00B57E6A"/>
    <w:rsid w:val="00B661BC"/>
    <w:rsid w:val="00B70B44"/>
    <w:rsid w:val="00B87972"/>
    <w:rsid w:val="00BA42E0"/>
    <w:rsid w:val="00BB042F"/>
    <w:rsid w:val="00C03AD1"/>
    <w:rsid w:val="00C248E8"/>
    <w:rsid w:val="00C86C2C"/>
    <w:rsid w:val="00C937BD"/>
    <w:rsid w:val="00CA3EEB"/>
    <w:rsid w:val="00CA7548"/>
    <w:rsid w:val="00CA7858"/>
    <w:rsid w:val="00CD2723"/>
    <w:rsid w:val="00CE2722"/>
    <w:rsid w:val="00CE6D82"/>
    <w:rsid w:val="00CF3142"/>
    <w:rsid w:val="00D17630"/>
    <w:rsid w:val="00D17B9A"/>
    <w:rsid w:val="00D276AF"/>
    <w:rsid w:val="00D37741"/>
    <w:rsid w:val="00D533CF"/>
    <w:rsid w:val="00D663D3"/>
    <w:rsid w:val="00D70CFB"/>
    <w:rsid w:val="00D71850"/>
    <w:rsid w:val="00D92E8F"/>
    <w:rsid w:val="00DC2F53"/>
    <w:rsid w:val="00DD13A9"/>
    <w:rsid w:val="00DD3770"/>
    <w:rsid w:val="00DF2614"/>
    <w:rsid w:val="00E15E9C"/>
    <w:rsid w:val="00E26CD7"/>
    <w:rsid w:val="00E433CE"/>
    <w:rsid w:val="00E47571"/>
    <w:rsid w:val="00E60E5F"/>
    <w:rsid w:val="00EA0B9E"/>
    <w:rsid w:val="00EA6659"/>
    <w:rsid w:val="00EB3DFE"/>
    <w:rsid w:val="00F32400"/>
    <w:rsid w:val="00F32F35"/>
    <w:rsid w:val="00F762A1"/>
    <w:rsid w:val="00FB4FE3"/>
    <w:rsid w:val="00FC3497"/>
    <w:rsid w:val="00FE4A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6C4C35-F4AF-4B36-8897-CD1E7D74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BDB"/>
    <w:rPr>
      <w:sz w:val="24"/>
      <w:szCs w:val="24"/>
      <w:lang w:eastAsia="ru-RU"/>
    </w:rPr>
  </w:style>
  <w:style w:type="paragraph" w:styleId="1">
    <w:name w:val="heading 1"/>
    <w:basedOn w:val="a"/>
    <w:next w:val="a"/>
    <w:qFormat/>
    <w:rsid w:val="00347B88"/>
    <w:pPr>
      <w:keepNext/>
      <w:spacing w:before="240" w:after="60"/>
      <w:outlineLvl w:val="0"/>
    </w:pPr>
    <w:rPr>
      <w:rFonts w:ascii="Arial" w:hAnsi="Arial" w:cs="Arial"/>
      <w:b/>
      <w:bCs/>
      <w:kern w:val="32"/>
      <w:sz w:val="32"/>
      <w:szCs w:val="32"/>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47B88"/>
    <w:pPr>
      <w:jc w:val="center"/>
    </w:pPr>
    <w:rPr>
      <w:rFonts w:ascii="Bookman Old Style" w:hAnsi="Bookman Old Style"/>
      <w:b/>
      <w:i/>
      <w:w w:val="101"/>
      <w:sz w:val="32"/>
      <w:szCs w:val="20"/>
    </w:rPr>
  </w:style>
  <w:style w:type="table" w:styleId="a4">
    <w:name w:val="Table Grid"/>
    <w:basedOn w:val="a1"/>
    <w:rsid w:val="00EA6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BA42E0"/>
    <w:rPr>
      <w:rFonts w:ascii="Segoe UI" w:hAnsi="Segoe UI" w:cs="Segoe UI"/>
      <w:sz w:val="18"/>
      <w:szCs w:val="18"/>
    </w:rPr>
  </w:style>
  <w:style w:type="character" w:customStyle="1" w:styleId="a6">
    <w:name w:val="Текст выноски Знак"/>
    <w:link w:val="a5"/>
    <w:rsid w:val="00BA42E0"/>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4</Pages>
  <Words>5603</Words>
  <Characters>3195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2023-09-26T14:46:00Z</cp:lastPrinted>
  <dcterms:created xsi:type="dcterms:W3CDTF">2023-09-14T10:11:00Z</dcterms:created>
  <dcterms:modified xsi:type="dcterms:W3CDTF">2023-09-26T14:50:00Z</dcterms:modified>
</cp:coreProperties>
</file>