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A0" w:rsidRPr="00162500" w:rsidRDefault="00F664A0" w:rsidP="00F664A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62500">
        <w:rPr>
          <w:b/>
          <w:sz w:val="28"/>
          <w:szCs w:val="28"/>
        </w:rPr>
        <w:t xml:space="preserve">Звіт </w:t>
      </w:r>
    </w:p>
    <w:p w:rsidR="00496205" w:rsidRDefault="00F664A0" w:rsidP="00F664A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2500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повторне</w:t>
      </w:r>
      <w:r w:rsidRPr="00162500">
        <w:rPr>
          <w:b/>
          <w:sz w:val="28"/>
          <w:szCs w:val="28"/>
        </w:rPr>
        <w:t xml:space="preserve"> відстеження результативності регуляторного </w:t>
      </w:r>
      <w:proofErr w:type="spellStart"/>
      <w:r w:rsidRPr="00162500">
        <w:rPr>
          <w:b/>
          <w:sz w:val="28"/>
          <w:szCs w:val="28"/>
        </w:rPr>
        <w:t>акта</w:t>
      </w:r>
      <w:proofErr w:type="spellEnd"/>
      <w:r w:rsidRPr="00162500">
        <w:rPr>
          <w:b/>
          <w:sz w:val="28"/>
          <w:szCs w:val="28"/>
        </w:rPr>
        <w:t xml:space="preserve"> – </w:t>
      </w:r>
      <w:r w:rsidRPr="00162500">
        <w:rPr>
          <w:b/>
          <w:bCs/>
          <w:sz w:val="28"/>
          <w:szCs w:val="28"/>
        </w:rPr>
        <w:t xml:space="preserve">розпорядження голови Рівненської обласної державної адміністрації – начальника Рівненської обласної військової адміністрації </w:t>
      </w:r>
      <w:r w:rsidRPr="0016250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від 12 травня 2022 року № 83 </w:t>
      </w:r>
      <w:r w:rsidRPr="00162500">
        <w:rPr>
          <w:b/>
          <w:bCs/>
          <w:sz w:val="28"/>
          <w:szCs w:val="28"/>
        </w:rPr>
        <w:t xml:space="preserve">«Про внесення змін до розпорядження голови Рівненської обласної державної адміністрації </w:t>
      </w:r>
    </w:p>
    <w:p w:rsidR="00F664A0" w:rsidRPr="00162500" w:rsidRDefault="00F664A0" w:rsidP="00F664A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2500">
        <w:rPr>
          <w:b/>
          <w:bCs/>
          <w:sz w:val="28"/>
          <w:szCs w:val="28"/>
        </w:rPr>
        <w:t>від 27 червня 2007 року № 320»</w:t>
      </w:r>
    </w:p>
    <w:p w:rsidR="00F664A0" w:rsidRPr="0041114C" w:rsidRDefault="00F664A0" w:rsidP="00F664A0">
      <w:pPr>
        <w:pStyle w:val="rvps2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664A0" w:rsidRPr="001561E6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561E6">
        <w:rPr>
          <w:b/>
          <w:sz w:val="28"/>
          <w:szCs w:val="28"/>
        </w:rPr>
        <w:t xml:space="preserve">Вид та назва регуляторного </w:t>
      </w:r>
      <w:proofErr w:type="spellStart"/>
      <w:r w:rsidRPr="001561E6">
        <w:rPr>
          <w:b/>
          <w:sz w:val="28"/>
          <w:szCs w:val="28"/>
        </w:rPr>
        <w:t>акта</w:t>
      </w:r>
      <w:proofErr w:type="spellEnd"/>
      <w:r w:rsidRPr="001561E6">
        <w:rPr>
          <w:b/>
          <w:sz w:val="28"/>
          <w:szCs w:val="28"/>
        </w:rPr>
        <w:t>, результативність якого відстежується</w:t>
      </w:r>
    </w:p>
    <w:p w:rsidR="00F664A0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1561E6">
        <w:rPr>
          <w:bCs/>
          <w:sz w:val="28"/>
          <w:szCs w:val="28"/>
        </w:rPr>
        <w:t xml:space="preserve">озпорядження голови Рівненської обласної державної адміністрації – начальника Рівненської обласної військової адміністрації </w:t>
      </w:r>
      <w:r>
        <w:rPr>
          <w:bCs/>
          <w:sz w:val="28"/>
          <w:szCs w:val="28"/>
        </w:rPr>
        <w:t xml:space="preserve">від 12 травня 2022 року № 83 </w:t>
      </w:r>
      <w:r w:rsidRPr="001561E6">
        <w:rPr>
          <w:bCs/>
          <w:sz w:val="28"/>
          <w:szCs w:val="28"/>
        </w:rPr>
        <w:t>«Про внесення змін до розпорядження голови Рівненської обласної державної адміністрації від 27 червня 2007 року № 320»</w:t>
      </w:r>
      <w:r w:rsidR="00496205">
        <w:rPr>
          <w:bCs/>
          <w:sz w:val="28"/>
          <w:szCs w:val="28"/>
        </w:rPr>
        <w:t xml:space="preserve"> (далі – розпорядження)</w:t>
      </w:r>
      <w:r>
        <w:rPr>
          <w:bCs/>
          <w:sz w:val="28"/>
          <w:szCs w:val="28"/>
        </w:rPr>
        <w:t>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664A0" w:rsidRPr="001561E6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561E6">
        <w:rPr>
          <w:b/>
          <w:sz w:val="28"/>
          <w:szCs w:val="28"/>
        </w:rPr>
        <w:t>Назва виконавця заходів з відстеження</w:t>
      </w:r>
    </w:p>
    <w:p w:rsidR="00F664A0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економічного розвитку і торгівлі Рівненської обласної державної адміністрації.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664A0" w:rsidRPr="001561E6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561E6">
        <w:rPr>
          <w:b/>
          <w:sz w:val="28"/>
          <w:szCs w:val="28"/>
        </w:rPr>
        <w:t xml:space="preserve">Цілі прийняття </w:t>
      </w:r>
      <w:proofErr w:type="spellStart"/>
      <w:r w:rsidRPr="001561E6">
        <w:rPr>
          <w:b/>
          <w:sz w:val="28"/>
          <w:szCs w:val="28"/>
        </w:rPr>
        <w:t>акта</w:t>
      </w:r>
      <w:proofErr w:type="spellEnd"/>
    </w:p>
    <w:p w:rsidR="00F664A0" w:rsidRDefault="00F664A0" w:rsidP="00F664A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Основною ц</w:t>
      </w:r>
      <w:r w:rsidRPr="009F79FF">
        <w:rPr>
          <w:rFonts w:ascii="Times New Roman" w:hAnsi="Times New Roman"/>
          <w:sz w:val="28"/>
          <w:szCs w:val="28"/>
        </w:rPr>
        <w:t>іллю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496205">
        <w:rPr>
          <w:rFonts w:ascii="Times New Roman" w:hAnsi="Times New Roman"/>
          <w:sz w:val="28"/>
          <w:szCs w:val="28"/>
        </w:rPr>
        <w:t>прийняття розпорядження</w:t>
      </w:r>
      <w:r w:rsidRPr="009F79FF">
        <w:rPr>
          <w:rFonts w:ascii="Times New Roman" w:hAnsi="Times New Roman"/>
          <w:sz w:val="28"/>
          <w:szCs w:val="28"/>
        </w:rPr>
        <w:t xml:space="preserve"> є</w:t>
      </w:r>
      <w:r>
        <w:rPr>
          <w:rFonts w:ascii="Times New Roman" w:hAnsi="Times New Roman"/>
          <w:sz w:val="28"/>
          <w:szCs w:val="28"/>
        </w:rPr>
        <w:t>:</w:t>
      </w:r>
    </w:p>
    <w:p w:rsidR="00F664A0" w:rsidRDefault="00F664A0" w:rsidP="00F664A0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D30">
        <w:rPr>
          <w:rFonts w:ascii="Times New Roman" w:hAnsi="Times New Roman"/>
          <w:sz w:val="28"/>
          <w:szCs w:val="28"/>
        </w:rPr>
        <w:t>необхідність перегляду нормативу рентабельності на торф паливний кусковий та торф’яні брикети, що відпускаються населенню для побутових потреб</w:t>
      </w:r>
      <w:r>
        <w:rPr>
          <w:rFonts w:ascii="Times New Roman" w:hAnsi="Times New Roman"/>
          <w:sz w:val="28"/>
          <w:szCs w:val="28"/>
        </w:rPr>
        <w:t>;</w:t>
      </w:r>
    </w:p>
    <w:p w:rsidR="00F664A0" w:rsidRDefault="00F664A0" w:rsidP="00F664A0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стабільності та безперебійності в роботі торфовидобувних підприємств області, за рахунок збалансування доходів і видатків, створення економічного </w:t>
      </w:r>
      <w:r w:rsidR="004358D6">
        <w:rPr>
          <w:rFonts w:ascii="Times New Roman" w:hAnsi="Times New Roman"/>
          <w:sz w:val="28"/>
          <w:szCs w:val="28"/>
        </w:rPr>
        <w:t>підґрунтя</w:t>
      </w:r>
      <w:r>
        <w:rPr>
          <w:rFonts w:ascii="Times New Roman" w:hAnsi="Times New Roman"/>
          <w:sz w:val="28"/>
          <w:szCs w:val="28"/>
        </w:rPr>
        <w:t xml:space="preserve"> для зміцнення матеріально-технічної бази;</w:t>
      </w:r>
    </w:p>
    <w:p w:rsidR="00F664A0" w:rsidRDefault="00F664A0" w:rsidP="00F664A0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розвитку торфовидобувної галузі Рівненської області.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F664A0" w:rsidRPr="00CD566D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D566D">
        <w:rPr>
          <w:b/>
          <w:sz w:val="28"/>
          <w:szCs w:val="28"/>
        </w:rPr>
        <w:t>трок виконання заходів з відстеження</w:t>
      </w:r>
    </w:p>
    <w:p w:rsidR="00F664A0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з </w:t>
      </w:r>
      <w:r w:rsidR="004358D6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відстеження проводились </w:t>
      </w:r>
      <w:r w:rsidR="00496205">
        <w:rPr>
          <w:sz w:val="28"/>
          <w:szCs w:val="28"/>
        </w:rPr>
        <w:t xml:space="preserve">у період </w:t>
      </w:r>
      <w:r>
        <w:rPr>
          <w:sz w:val="28"/>
          <w:szCs w:val="28"/>
        </w:rPr>
        <w:t xml:space="preserve">з </w:t>
      </w:r>
      <w:r w:rsidR="004358D6">
        <w:rPr>
          <w:sz w:val="28"/>
          <w:szCs w:val="28"/>
        </w:rPr>
        <w:br/>
        <w:t>05</w:t>
      </w:r>
      <w:r>
        <w:rPr>
          <w:sz w:val="28"/>
          <w:szCs w:val="28"/>
        </w:rPr>
        <w:t xml:space="preserve"> </w:t>
      </w:r>
      <w:r w:rsidR="004358D6">
        <w:rPr>
          <w:sz w:val="28"/>
          <w:szCs w:val="28"/>
        </w:rPr>
        <w:t>червня</w:t>
      </w:r>
      <w:r w:rsidR="0051571B">
        <w:rPr>
          <w:sz w:val="28"/>
          <w:szCs w:val="28"/>
        </w:rPr>
        <w:t xml:space="preserve"> по </w:t>
      </w:r>
      <w:r w:rsidR="00D40544" w:rsidRPr="006F2773">
        <w:rPr>
          <w:sz w:val="28"/>
          <w:szCs w:val="28"/>
        </w:rPr>
        <w:t>04</w:t>
      </w:r>
      <w:r w:rsidRPr="006F2773">
        <w:rPr>
          <w:sz w:val="28"/>
          <w:szCs w:val="28"/>
        </w:rPr>
        <w:t xml:space="preserve"> </w:t>
      </w:r>
      <w:r w:rsidR="00D40544" w:rsidRPr="006F2773">
        <w:rPr>
          <w:sz w:val="28"/>
          <w:szCs w:val="28"/>
        </w:rPr>
        <w:t>серпня</w:t>
      </w:r>
      <w:r w:rsidRPr="006F2773">
        <w:rPr>
          <w:sz w:val="28"/>
          <w:szCs w:val="28"/>
        </w:rPr>
        <w:t xml:space="preserve"> 202</w:t>
      </w:r>
      <w:r w:rsidR="004358D6" w:rsidRPr="006F2773">
        <w:rPr>
          <w:sz w:val="28"/>
          <w:szCs w:val="28"/>
        </w:rPr>
        <w:t>3</w:t>
      </w:r>
      <w:r w:rsidRPr="006F2773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664A0" w:rsidRPr="00CD566D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CD566D">
        <w:rPr>
          <w:b/>
          <w:sz w:val="28"/>
          <w:szCs w:val="28"/>
        </w:rPr>
        <w:t>Тип відстеження</w:t>
      </w:r>
    </w:p>
    <w:p w:rsidR="00F664A0" w:rsidRPr="00CD566D" w:rsidRDefault="004358D6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Повторне</w:t>
      </w:r>
      <w:r w:rsidR="00F664A0" w:rsidRPr="00CD566D">
        <w:rPr>
          <w:sz w:val="28"/>
          <w:szCs w:val="28"/>
        </w:rPr>
        <w:t xml:space="preserve"> відстеження.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664A0" w:rsidRPr="00CD566D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CD566D">
        <w:rPr>
          <w:b/>
          <w:sz w:val="28"/>
          <w:szCs w:val="28"/>
        </w:rPr>
        <w:t>Методи одержання результатів відстеження</w:t>
      </w:r>
    </w:p>
    <w:p w:rsidR="00F664A0" w:rsidRPr="00A7707E" w:rsidRDefault="00BC3185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Статистичний метод.</w:t>
      </w:r>
    </w:p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F664A0" w:rsidRPr="00424757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424757">
        <w:rPr>
          <w:b/>
          <w:sz w:val="28"/>
          <w:szCs w:val="28"/>
        </w:rPr>
        <w:t>ані та припущення, на основі яких відстежувалася результативність, а також способи одержання даних</w:t>
      </w:r>
    </w:p>
    <w:p w:rsidR="00F664A0" w:rsidRPr="00CB7856" w:rsidRDefault="00F664A0" w:rsidP="00F664A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856">
        <w:rPr>
          <w:rFonts w:ascii="Times New Roman" w:hAnsi="Times New Roman" w:cs="Times New Roman"/>
          <w:sz w:val="28"/>
          <w:szCs w:val="28"/>
        </w:rPr>
        <w:t xml:space="preserve">За результатами відстеження результативності регуляторного </w:t>
      </w:r>
      <w:proofErr w:type="spellStart"/>
      <w:r w:rsidRPr="00CB785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B7856">
        <w:rPr>
          <w:rFonts w:ascii="Times New Roman" w:hAnsi="Times New Roman" w:cs="Times New Roman"/>
          <w:sz w:val="28"/>
          <w:szCs w:val="28"/>
        </w:rPr>
        <w:t xml:space="preserve"> проаналізовано </w:t>
      </w:r>
      <w:r w:rsidR="0067197D">
        <w:rPr>
          <w:rFonts w:ascii="Times New Roman" w:hAnsi="Times New Roman" w:cs="Times New Roman"/>
          <w:sz w:val="28"/>
          <w:szCs w:val="28"/>
        </w:rPr>
        <w:t>наступні</w:t>
      </w:r>
      <w:r w:rsidRPr="00CB7856">
        <w:rPr>
          <w:rFonts w:ascii="Times New Roman" w:hAnsi="Times New Roman" w:cs="Times New Roman"/>
          <w:sz w:val="28"/>
          <w:szCs w:val="28"/>
        </w:rPr>
        <w:t xml:space="preserve"> значення показників результативності: кількість суб’єктів господарювання, на яких поширюється дія </w:t>
      </w:r>
      <w:proofErr w:type="spellStart"/>
      <w:r w:rsidRPr="00CB785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B7856">
        <w:rPr>
          <w:rFonts w:ascii="Times New Roman" w:hAnsi="Times New Roman" w:cs="Times New Roman"/>
          <w:sz w:val="28"/>
          <w:szCs w:val="28"/>
        </w:rPr>
        <w:t xml:space="preserve">; зміна рівня цін на торф паливний кусковий та торф’яні брикети, що відпускаються населенню для побутових потреб, та їх економічна обґрунтованість; зміна обсягів реалізації торфу паливного кускового та торф’яних брикетів для побутових потреб </w:t>
      </w:r>
      <w:r w:rsidRPr="00CB7856">
        <w:rPr>
          <w:rFonts w:ascii="Times New Roman" w:hAnsi="Times New Roman" w:cs="Times New Roman"/>
          <w:sz w:val="28"/>
          <w:szCs w:val="28"/>
        </w:rPr>
        <w:lastRenderedPageBreak/>
        <w:t xml:space="preserve">населення; розмір надходжень від сплати податків до місцевого та державного бюджетів; розмір коштів і час, що витрачатимуться суб’єктами господарювання, пов’язаними з виконанням вимог </w:t>
      </w:r>
      <w:proofErr w:type="spellStart"/>
      <w:r w:rsidRPr="00CB785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B7856">
        <w:rPr>
          <w:rFonts w:ascii="Times New Roman" w:hAnsi="Times New Roman" w:cs="Times New Roman"/>
          <w:sz w:val="28"/>
          <w:szCs w:val="28"/>
        </w:rPr>
        <w:t xml:space="preserve">; рівень поінформованості суб’єктів господарювання з основних положень регуляторного </w:t>
      </w:r>
      <w:proofErr w:type="spellStart"/>
      <w:r w:rsidRPr="00CB785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B7856">
        <w:rPr>
          <w:rFonts w:ascii="Times New Roman" w:hAnsi="Times New Roman" w:cs="Times New Roman"/>
          <w:sz w:val="28"/>
          <w:szCs w:val="28"/>
        </w:rPr>
        <w:t>.</w:t>
      </w:r>
    </w:p>
    <w:p w:rsidR="00F664A0" w:rsidRPr="0011140E" w:rsidRDefault="00F664A0" w:rsidP="00F664A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40E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здійснювалося шляхом аналізу </w:t>
      </w:r>
      <w:r>
        <w:rPr>
          <w:rFonts w:ascii="Times New Roman" w:hAnsi="Times New Roman" w:cs="Times New Roman"/>
          <w:sz w:val="28"/>
          <w:szCs w:val="28"/>
        </w:rPr>
        <w:t xml:space="preserve">інформації, </w:t>
      </w:r>
      <w:r w:rsidRPr="0011140E">
        <w:rPr>
          <w:rFonts w:ascii="Times New Roman" w:hAnsi="Times New Roman" w:cs="Times New Roman"/>
          <w:sz w:val="28"/>
          <w:szCs w:val="28"/>
        </w:rPr>
        <w:t>надан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1140E">
        <w:rPr>
          <w:rFonts w:ascii="Times New Roman" w:hAnsi="Times New Roman" w:cs="Times New Roman"/>
          <w:sz w:val="28"/>
          <w:szCs w:val="28"/>
        </w:rPr>
        <w:t xml:space="preserve"> </w:t>
      </w:r>
      <w:r w:rsidR="004E7B0C">
        <w:rPr>
          <w:rFonts w:ascii="Times New Roman" w:hAnsi="Times New Roman" w:cs="Times New Roman"/>
          <w:sz w:val="28"/>
          <w:szCs w:val="28"/>
        </w:rPr>
        <w:t>Державним підприємством</w:t>
      </w:r>
      <w:r w:rsidR="00EC2A8E">
        <w:rPr>
          <w:rFonts w:ascii="Times New Roman" w:hAnsi="Times New Roman" w:cs="Times New Roman"/>
          <w:sz w:val="28"/>
          <w:szCs w:val="28"/>
        </w:rPr>
        <w:t xml:space="preserve"> «Рівнеторф» та Головним</w:t>
      </w:r>
      <w:r w:rsidR="00EC2A8E" w:rsidRPr="00EC2A8E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EC2A8E">
        <w:rPr>
          <w:rFonts w:ascii="Times New Roman" w:hAnsi="Times New Roman" w:cs="Times New Roman"/>
          <w:sz w:val="28"/>
          <w:szCs w:val="28"/>
        </w:rPr>
        <w:t>м</w:t>
      </w:r>
      <w:r w:rsidR="00EC2A8E" w:rsidRPr="00EC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A8E" w:rsidRPr="00EC2A8E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EC2A8E" w:rsidRPr="00EC2A8E">
        <w:rPr>
          <w:rFonts w:ascii="Times New Roman" w:hAnsi="Times New Roman" w:cs="Times New Roman"/>
          <w:sz w:val="28"/>
          <w:szCs w:val="28"/>
        </w:rPr>
        <w:t xml:space="preserve"> в Рівненській області</w:t>
      </w:r>
      <w:r w:rsidR="00EC2A8E">
        <w:rPr>
          <w:rFonts w:ascii="Times New Roman" w:hAnsi="Times New Roman" w:cs="Times New Roman"/>
          <w:sz w:val="28"/>
          <w:szCs w:val="28"/>
        </w:rPr>
        <w:t>.</w:t>
      </w:r>
    </w:p>
    <w:p w:rsidR="00F664A0" w:rsidRPr="0041114C" w:rsidRDefault="00F664A0" w:rsidP="00F664A0">
      <w:pPr>
        <w:pStyle w:val="a3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64A0" w:rsidRDefault="00F664A0" w:rsidP="00F664A0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6494D">
        <w:rPr>
          <w:b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Pr="0036494D">
        <w:rPr>
          <w:b/>
          <w:sz w:val="28"/>
          <w:szCs w:val="28"/>
        </w:rPr>
        <w:t>акта</w:t>
      </w:r>
      <w:proofErr w:type="spellEnd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5380"/>
      </w:tblGrid>
      <w:tr w:rsidR="00F664A0" w:rsidTr="00D45057">
        <w:tc>
          <w:tcPr>
            <w:tcW w:w="4537" w:type="dxa"/>
          </w:tcPr>
          <w:p w:rsidR="00F664A0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t xml:space="preserve">Кількість суб’єктів господарювання та/або фізичних осіб, на яких поширюється дія </w:t>
            </w:r>
            <w:proofErr w:type="spellStart"/>
            <w:r w:rsidRPr="00C10DB2"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380" w:type="dxa"/>
          </w:tcPr>
          <w:p w:rsidR="00A1072A" w:rsidRDefault="00D40544" w:rsidP="0041114C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</w:t>
            </w:r>
            <w:r w:rsidR="00F664A0">
              <w:rPr>
                <w:sz w:val="28"/>
                <w:szCs w:val="28"/>
              </w:rPr>
              <w:t xml:space="preserve"> регуляторного </w:t>
            </w:r>
            <w:proofErr w:type="spellStart"/>
            <w:r w:rsidR="00F664A0">
              <w:rPr>
                <w:sz w:val="28"/>
                <w:szCs w:val="28"/>
              </w:rPr>
              <w:t>акта</w:t>
            </w:r>
            <w:proofErr w:type="spellEnd"/>
            <w:r w:rsidR="00F664A0">
              <w:rPr>
                <w:sz w:val="28"/>
                <w:szCs w:val="28"/>
              </w:rPr>
              <w:t xml:space="preserve"> поширю</w:t>
            </w:r>
            <w:r w:rsidR="0067197D">
              <w:rPr>
                <w:sz w:val="28"/>
                <w:szCs w:val="28"/>
              </w:rPr>
              <w:t>ються</w:t>
            </w:r>
            <w:r w:rsidR="00F664A0">
              <w:rPr>
                <w:sz w:val="28"/>
                <w:szCs w:val="28"/>
              </w:rPr>
              <w:t xml:space="preserve"> на суб’єктів господарювання, які здійснюють діяльність </w:t>
            </w:r>
            <w:r w:rsidR="00F664A0" w:rsidRPr="00C10DB2">
              <w:rPr>
                <w:sz w:val="28"/>
                <w:szCs w:val="28"/>
              </w:rPr>
              <w:t>з виробництва та реалізації торфу паливного кускового та торф’яних брикетів для побутових потреб населення</w:t>
            </w:r>
            <w:r w:rsidR="0067197D">
              <w:rPr>
                <w:sz w:val="28"/>
                <w:szCs w:val="28"/>
              </w:rPr>
              <w:t xml:space="preserve">. </w:t>
            </w:r>
            <w:r w:rsidR="00A1072A">
              <w:rPr>
                <w:sz w:val="28"/>
                <w:szCs w:val="28"/>
              </w:rPr>
              <w:t xml:space="preserve">Основним виробником та постачальником </w:t>
            </w:r>
            <w:proofErr w:type="spellStart"/>
            <w:r w:rsidR="0041114C">
              <w:rPr>
                <w:sz w:val="28"/>
                <w:szCs w:val="28"/>
              </w:rPr>
              <w:t>торфопродукції</w:t>
            </w:r>
            <w:proofErr w:type="spellEnd"/>
            <w:r w:rsidR="0067197D">
              <w:rPr>
                <w:sz w:val="28"/>
                <w:szCs w:val="28"/>
              </w:rPr>
              <w:t xml:space="preserve"> для побутових потреб населення </w:t>
            </w:r>
            <w:r w:rsidR="00A1072A">
              <w:rPr>
                <w:sz w:val="28"/>
                <w:szCs w:val="28"/>
              </w:rPr>
              <w:t xml:space="preserve">в області є </w:t>
            </w:r>
            <w:r w:rsidR="00F664A0">
              <w:rPr>
                <w:bCs/>
                <w:sz w:val="28"/>
                <w:szCs w:val="28"/>
              </w:rPr>
              <w:t>Державн</w:t>
            </w:r>
            <w:r w:rsidR="00A1072A">
              <w:rPr>
                <w:bCs/>
                <w:sz w:val="28"/>
                <w:szCs w:val="28"/>
              </w:rPr>
              <w:t>е</w:t>
            </w:r>
            <w:r w:rsidR="00F664A0">
              <w:rPr>
                <w:bCs/>
                <w:sz w:val="28"/>
                <w:szCs w:val="28"/>
              </w:rPr>
              <w:t xml:space="preserve"> підприємство «Рівнеторф»</w:t>
            </w:r>
          </w:p>
        </w:tc>
      </w:tr>
      <w:tr w:rsidR="00F664A0" w:rsidTr="00D45057">
        <w:tc>
          <w:tcPr>
            <w:tcW w:w="4537" w:type="dxa"/>
          </w:tcPr>
          <w:p w:rsidR="00F664A0" w:rsidRPr="00C10DB2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t>Зміна рівня цін на торф паливний кусковий та торф’яні брикети, що відпускаються населенню для побутових потреб, та їх економічна обґрунтованість</w:t>
            </w:r>
          </w:p>
        </w:tc>
        <w:tc>
          <w:tcPr>
            <w:tcW w:w="5380" w:type="dxa"/>
          </w:tcPr>
          <w:p w:rsidR="007B0A51" w:rsidRDefault="007B0A51" w:rsidP="00215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14.12.2022 Державне підприємство «Рівнеторф» реалізує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напівбрикети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торф’яні </w:t>
            </w:r>
            <w:r w:rsidR="0071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побутових потреб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оптово-відпускною ціною </w:t>
            </w:r>
            <w:r w:rsidR="00717E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1860 грн/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яка сформована виходячи </w:t>
            </w:r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собівартості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1347,84</w:t>
            </w:r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грн/тонна та рівня рентабельності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>відс</w:t>
            </w:r>
            <w:proofErr w:type="spellEnd"/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202,16</w:t>
            </w:r>
            <w:r w:rsidRPr="007B0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грн/тонна)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1103" w:rsidRDefault="007B0A51" w:rsidP="00D81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2022 року оптово-відпускна ціна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напівбрикети</w:t>
            </w:r>
            <w:proofErr w:type="spellEnd"/>
            <w:r w:rsidR="00D4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торф’ян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і, які відпускалися</w:t>
            </w:r>
            <w:r w:rsidR="00D4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побутових потреб населення підприємством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45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зросла на </w:t>
            </w:r>
            <w:r w:rsidR="002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450 грн/тонна або на 32 </w:t>
            </w:r>
            <w:proofErr w:type="spellStart"/>
            <w:r w:rsidR="002A5290">
              <w:rPr>
                <w:rFonts w:ascii="Times New Roman" w:eastAsia="Times New Roman" w:hAnsi="Times New Roman" w:cs="Times New Roman"/>
                <w:sz w:val="28"/>
                <w:szCs w:val="28"/>
              </w:rPr>
              <w:t>відс</w:t>
            </w:r>
            <w:proofErr w:type="spellEnd"/>
            <w:r w:rsidR="002A52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64A0" w:rsidRDefault="00D81103" w:rsidP="00904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Зростання ціни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напівбрикетів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торф’яних для побутових потреб населення в першу чергу пояснюється збільшенням витрат на </w:t>
            </w:r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виробництво. У 2022 році витрати на пальне зросли у 2,5 </w:t>
            </w:r>
            <w:proofErr w:type="spellStart"/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матеріали та запчастини 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  <w:r w:rsidR="008A2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2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48,4 </w:t>
            </w:r>
            <w:proofErr w:type="spellStart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відс</w:t>
            </w:r>
            <w:proofErr w:type="spellEnd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електроенергію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19,8 </w:t>
            </w:r>
            <w:proofErr w:type="spellStart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відс</w:t>
            </w:r>
            <w:proofErr w:type="spellEnd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оплату праці – 8,2 </w:t>
            </w:r>
            <w:proofErr w:type="spellStart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відс</w:t>
            </w:r>
            <w:proofErr w:type="spellEnd"/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A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904AD8" w:rsidRPr="00904A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грудень 2022 року до січня </w:t>
            </w:r>
            <w:r w:rsidR="00904A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904AD8" w:rsidRPr="00904A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2022 року</w:t>
            </w:r>
            <w:r w:rsidR="00F806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111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114C" w:rsidRDefault="0041114C" w:rsidP="008A2C7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2022-2023 роках виробництво торфу паливного кусков</w:t>
            </w:r>
            <w:r w:rsidR="008A2C78"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підприємством не здійснювало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</w:tr>
    </w:tbl>
    <w:p w:rsidR="0068571E" w:rsidRDefault="0068571E">
      <w:r>
        <w:br w:type="page"/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5380"/>
      </w:tblGrid>
      <w:tr w:rsidR="00F664A0" w:rsidTr="00D45057">
        <w:tc>
          <w:tcPr>
            <w:tcW w:w="4537" w:type="dxa"/>
          </w:tcPr>
          <w:p w:rsidR="00F664A0" w:rsidRPr="00C10DB2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lastRenderedPageBreak/>
              <w:t>Зміна обсягів реалізації торфу паливного кускового та торф’яних брикетів для побутових потреб населення</w:t>
            </w:r>
          </w:p>
        </w:tc>
        <w:tc>
          <w:tcPr>
            <w:tcW w:w="5380" w:type="dxa"/>
          </w:tcPr>
          <w:p w:rsidR="009736A9" w:rsidRDefault="00CF52E0" w:rsidP="009F4E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2022 році Державним підприємством </w:t>
            </w:r>
            <w:r w:rsidR="00B75563">
              <w:rPr>
                <w:sz w:val="28"/>
                <w:szCs w:val="28"/>
              </w:rPr>
              <w:t xml:space="preserve">«Рівнеторф» реалізовано 77,2 </w:t>
            </w:r>
            <w:proofErr w:type="spellStart"/>
            <w:r w:rsidR="00B75563">
              <w:rPr>
                <w:sz w:val="28"/>
                <w:szCs w:val="28"/>
              </w:rPr>
              <w:t>тис.тонн</w:t>
            </w:r>
            <w:proofErr w:type="spellEnd"/>
            <w:r w:rsidR="00B75563">
              <w:rPr>
                <w:sz w:val="28"/>
                <w:szCs w:val="28"/>
              </w:rPr>
              <w:t xml:space="preserve"> </w:t>
            </w:r>
            <w:proofErr w:type="spellStart"/>
            <w:r w:rsidR="00B75563">
              <w:rPr>
                <w:sz w:val="28"/>
                <w:szCs w:val="28"/>
              </w:rPr>
              <w:t>напівбрикетів</w:t>
            </w:r>
            <w:proofErr w:type="spellEnd"/>
            <w:r w:rsidR="00B75563">
              <w:rPr>
                <w:sz w:val="28"/>
                <w:szCs w:val="28"/>
              </w:rPr>
              <w:t xml:space="preserve"> торф’яних, в тому числі для побутових потреб населення – </w:t>
            </w:r>
            <w:r w:rsidR="004121A0">
              <w:rPr>
                <w:sz w:val="28"/>
                <w:szCs w:val="28"/>
              </w:rPr>
              <w:br/>
            </w:r>
            <w:r w:rsidR="00B75563">
              <w:rPr>
                <w:sz w:val="28"/>
                <w:szCs w:val="28"/>
              </w:rPr>
              <w:t xml:space="preserve">36,6 </w:t>
            </w:r>
            <w:proofErr w:type="spellStart"/>
            <w:r w:rsidR="00B75563">
              <w:rPr>
                <w:sz w:val="28"/>
                <w:szCs w:val="28"/>
              </w:rPr>
              <w:t>тис.тонн</w:t>
            </w:r>
            <w:proofErr w:type="spellEnd"/>
            <w:r w:rsidR="004121A0">
              <w:rPr>
                <w:sz w:val="28"/>
                <w:szCs w:val="28"/>
              </w:rPr>
              <w:t xml:space="preserve"> (на 28,6 </w:t>
            </w:r>
            <w:proofErr w:type="spellStart"/>
            <w:r w:rsidR="004121A0">
              <w:rPr>
                <w:sz w:val="28"/>
                <w:szCs w:val="28"/>
              </w:rPr>
              <w:t>відс</w:t>
            </w:r>
            <w:proofErr w:type="spellEnd"/>
            <w:r w:rsidR="004121A0">
              <w:rPr>
                <w:sz w:val="28"/>
                <w:szCs w:val="28"/>
              </w:rPr>
              <w:t>. менше порівняно з 2021 роком).</w:t>
            </w:r>
          </w:p>
          <w:p w:rsidR="009F4E30" w:rsidRDefault="009F4E30" w:rsidP="00517639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22B0">
              <w:rPr>
                <w:sz w:val="28"/>
                <w:szCs w:val="28"/>
              </w:rPr>
              <w:t>У січні-</w:t>
            </w:r>
            <w:r w:rsidR="00517639">
              <w:rPr>
                <w:sz w:val="28"/>
                <w:szCs w:val="28"/>
              </w:rPr>
              <w:t>червні</w:t>
            </w:r>
            <w:r w:rsidRPr="00EC22B0">
              <w:rPr>
                <w:sz w:val="28"/>
                <w:szCs w:val="28"/>
              </w:rPr>
              <w:t xml:space="preserve"> 2023 року </w:t>
            </w:r>
            <w:r w:rsidR="00EC22B0" w:rsidRPr="00EC22B0">
              <w:rPr>
                <w:sz w:val="28"/>
                <w:szCs w:val="28"/>
              </w:rPr>
              <w:t xml:space="preserve">для задоволення потреб населення </w:t>
            </w:r>
            <w:r w:rsidR="005B6338">
              <w:rPr>
                <w:sz w:val="28"/>
                <w:szCs w:val="28"/>
              </w:rPr>
              <w:t>відпущено</w:t>
            </w:r>
            <w:r w:rsidR="00EC22B0" w:rsidRPr="00EC22B0">
              <w:rPr>
                <w:sz w:val="28"/>
                <w:szCs w:val="28"/>
              </w:rPr>
              <w:t xml:space="preserve"> </w:t>
            </w:r>
            <w:r w:rsidR="008710B8">
              <w:rPr>
                <w:sz w:val="28"/>
                <w:szCs w:val="28"/>
              </w:rPr>
              <w:t>12,1</w:t>
            </w:r>
            <w:r w:rsidRPr="00EC22B0">
              <w:rPr>
                <w:sz w:val="28"/>
                <w:szCs w:val="28"/>
              </w:rPr>
              <w:t xml:space="preserve"> </w:t>
            </w:r>
            <w:proofErr w:type="spellStart"/>
            <w:r w:rsidRPr="00EC22B0">
              <w:rPr>
                <w:sz w:val="28"/>
                <w:szCs w:val="28"/>
              </w:rPr>
              <w:t>тис.тонн</w:t>
            </w:r>
            <w:proofErr w:type="spellEnd"/>
            <w:r w:rsidR="00EC22B0" w:rsidRPr="00EC22B0">
              <w:rPr>
                <w:sz w:val="28"/>
                <w:szCs w:val="28"/>
              </w:rPr>
              <w:t xml:space="preserve"> </w:t>
            </w:r>
            <w:proofErr w:type="spellStart"/>
            <w:r w:rsidR="00EC22B0" w:rsidRPr="00EC22B0">
              <w:rPr>
                <w:sz w:val="28"/>
                <w:szCs w:val="28"/>
              </w:rPr>
              <w:t>напівбрикетів</w:t>
            </w:r>
            <w:proofErr w:type="spellEnd"/>
            <w:r w:rsidR="00EC22B0" w:rsidRPr="00EC22B0">
              <w:rPr>
                <w:sz w:val="28"/>
                <w:szCs w:val="28"/>
              </w:rPr>
              <w:t xml:space="preserve"> торф</w:t>
            </w:r>
            <w:r w:rsidR="00DB44BA">
              <w:rPr>
                <w:sz w:val="28"/>
                <w:szCs w:val="28"/>
              </w:rPr>
              <w:t>’яних</w:t>
            </w:r>
          </w:p>
        </w:tc>
      </w:tr>
      <w:tr w:rsidR="00F664A0" w:rsidTr="00D45057">
        <w:tc>
          <w:tcPr>
            <w:tcW w:w="4537" w:type="dxa"/>
          </w:tcPr>
          <w:p w:rsidR="00F664A0" w:rsidRPr="00C10DB2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t>Розмір надходжень від сплати податків до місцевого та державного бюджетів</w:t>
            </w:r>
          </w:p>
        </w:tc>
        <w:tc>
          <w:tcPr>
            <w:tcW w:w="5380" w:type="dxa"/>
          </w:tcPr>
          <w:p w:rsidR="00A1051F" w:rsidRDefault="005B6338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результатами господарської діяльності у 2022 році Державним підприємством «Рівнеторф» нараховано та сплачено </w:t>
            </w:r>
            <w:r w:rsidR="00A1051F">
              <w:rPr>
                <w:sz w:val="28"/>
                <w:szCs w:val="28"/>
              </w:rPr>
              <w:t>до державного бюджету:</w:t>
            </w:r>
          </w:p>
          <w:p w:rsidR="00A1051F" w:rsidRDefault="005B6338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частину чистого прибутку </w:t>
            </w:r>
            <w:r w:rsidR="00B0366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6,9 млн грн</w:t>
            </w:r>
            <w:r w:rsidR="00A1051F">
              <w:rPr>
                <w:sz w:val="28"/>
                <w:szCs w:val="28"/>
              </w:rPr>
              <w:t xml:space="preserve"> (2021 рік – 4,4 млн грн), </w:t>
            </w:r>
            <w:r>
              <w:rPr>
                <w:sz w:val="28"/>
                <w:szCs w:val="28"/>
              </w:rPr>
              <w:t xml:space="preserve">в тому числі від реалізації </w:t>
            </w:r>
            <w:proofErr w:type="spellStart"/>
            <w:r>
              <w:rPr>
                <w:sz w:val="28"/>
                <w:szCs w:val="28"/>
              </w:rPr>
              <w:t>напівбрикетів</w:t>
            </w:r>
            <w:proofErr w:type="spellEnd"/>
            <w:r>
              <w:rPr>
                <w:sz w:val="28"/>
                <w:szCs w:val="28"/>
              </w:rPr>
              <w:t xml:space="preserve"> торф’яних населенню </w:t>
            </w:r>
            <w:r w:rsidR="00B03669">
              <w:rPr>
                <w:sz w:val="28"/>
                <w:szCs w:val="28"/>
              </w:rPr>
              <w:t xml:space="preserve">– </w:t>
            </w:r>
            <w:r w:rsidR="00A1051F" w:rsidRPr="0032242F">
              <w:rPr>
                <w:sz w:val="28"/>
                <w:szCs w:val="28"/>
              </w:rPr>
              <w:t xml:space="preserve">3,3 </w:t>
            </w:r>
            <w:r w:rsidR="00A1051F">
              <w:rPr>
                <w:sz w:val="28"/>
                <w:szCs w:val="28"/>
              </w:rPr>
              <w:t>млн грн;</w:t>
            </w:r>
          </w:p>
          <w:p w:rsidR="004E2181" w:rsidRPr="004E2181" w:rsidRDefault="005B6338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податку на прибуток – 3,0 млн грн</w:t>
            </w:r>
            <w:r w:rsidR="00A1051F">
              <w:rPr>
                <w:sz w:val="28"/>
                <w:szCs w:val="28"/>
              </w:rPr>
              <w:t xml:space="preserve"> (2021 рік – 2,2 млн грн), </w:t>
            </w:r>
            <w:r>
              <w:rPr>
                <w:sz w:val="28"/>
                <w:szCs w:val="28"/>
              </w:rPr>
              <w:t xml:space="preserve">в тому числі від реалізації </w:t>
            </w:r>
            <w:proofErr w:type="spellStart"/>
            <w:r>
              <w:rPr>
                <w:sz w:val="28"/>
                <w:szCs w:val="28"/>
              </w:rPr>
              <w:t>напівбрикетів</w:t>
            </w:r>
            <w:proofErr w:type="spellEnd"/>
            <w:r>
              <w:rPr>
                <w:sz w:val="28"/>
                <w:szCs w:val="28"/>
              </w:rPr>
              <w:t xml:space="preserve"> торф’яних населенню – </w:t>
            </w:r>
            <w:r w:rsidR="00A1051F">
              <w:rPr>
                <w:sz w:val="28"/>
                <w:szCs w:val="28"/>
              </w:rPr>
              <w:br/>
            </w:r>
            <w:r w:rsidRPr="0032242F">
              <w:rPr>
                <w:sz w:val="28"/>
                <w:szCs w:val="28"/>
              </w:rPr>
              <w:t xml:space="preserve">0,9 </w:t>
            </w:r>
            <w:r>
              <w:rPr>
                <w:sz w:val="28"/>
                <w:szCs w:val="28"/>
              </w:rPr>
              <w:t>млн грн.</w:t>
            </w:r>
          </w:p>
          <w:p w:rsidR="00F664A0" w:rsidRPr="00A1051F" w:rsidRDefault="00A1051F" w:rsidP="008710B8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січні-</w:t>
            </w:r>
            <w:r w:rsidR="00517639">
              <w:rPr>
                <w:sz w:val="28"/>
                <w:szCs w:val="28"/>
              </w:rPr>
              <w:t>червні</w:t>
            </w:r>
            <w:r>
              <w:rPr>
                <w:sz w:val="28"/>
                <w:szCs w:val="28"/>
              </w:rPr>
              <w:t xml:space="preserve"> 2023 року до державного бюджету </w:t>
            </w:r>
            <w:r w:rsidR="00B03669">
              <w:rPr>
                <w:sz w:val="28"/>
                <w:szCs w:val="28"/>
              </w:rPr>
              <w:t xml:space="preserve">підприємством </w:t>
            </w:r>
            <w:r>
              <w:rPr>
                <w:sz w:val="28"/>
                <w:szCs w:val="28"/>
              </w:rPr>
              <w:t xml:space="preserve">сплачено частину чистого прибутку в сумі </w:t>
            </w:r>
            <w:r w:rsidR="00517639">
              <w:rPr>
                <w:sz w:val="28"/>
                <w:szCs w:val="28"/>
              </w:rPr>
              <w:t>14,6</w:t>
            </w:r>
            <w:r>
              <w:rPr>
                <w:sz w:val="28"/>
                <w:szCs w:val="28"/>
              </w:rPr>
              <w:t xml:space="preserve"> млн грн (в том</w:t>
            </w:r>
            <w:r w:rsidR="00B03669">
              <w:rPr>
                <w:sz w:val="28"/>
                <w:szCs w:val="28"/>
              </w:rPr>
              <w:t xml:space="preserve">у числі від реалізації </w:t>
            </w:r>
            <w:proofErr w:type="spellStart"/>
            <w:r w:rsidR="00B03669">
              <w:rPr>
                <w:sz w:val="28"/>
                <w:szCs w:val="28"/>
              </w:rPr>
              <w:t>напівбрикетів</w:t>
            </w:r>
            <w:proofErr w:type="spellEnd"/>
            <w:r w:rsidR="00B03669">
              <w:rPr>
                <w:sz w:val="28"/>
                <w:szCs w:val="28"/>
              </w:rPr>
              <w:t xml:space="preserve"> торф’яних населенню – </w:t>
            </w:r>
            <w:r w:rsidR="008710B8" w:rsidRPr="008710B8">
              <w:rPr>
                <w:sz w:val="28"/>
                <w:szCs w:val="28"/>
              </w:rPr>
              <w:t>2,2</w:t>
            </w:r>
            <w:r w:rsidR="00B03669" w:rsidRPr="008710B8">
              <w:rPr>
                <w:sz w:val="28"/>
                <w:szCs w:val="28"/>
              </w:rPr>
              <w:t xml:space="preserve"> млн грн</w:t>
            </w:r>
            <w:r w:rsidR="00B03669">
              <w:rPr>
                <w:sz w:val="28"/>
                <w:szCs w:val="28"/>
              </w:rPr>
              <w:t xml:space="preserve">), податку на прибуток – </w:t>
            </w:r>
            <w:r w:rsidR="00517639">
              <w:rPr>
                <w:sz w:val="28"/>
                <w:szCs w:val="28"/>
              </w:rPr>
              <w:t>6,7</w:t>
            </w:r>
            <w:r w:rsidR="00B03669">
              <w:rPr>
                <w:sz w:val="28"/>
                <w:szCs w:val="28"/>
              </w:rPr>
              <w:t xml:space="preserve"> млн грн (в тому числі від реалізації </w:t>
            </w:r>
            <w:proofErr w:type="spellStart"/>
            <w:r w:rsidR="00B03669">
              <w:rPr>
                <w:sz w:val="28"/>
                <w:szCs w:val="28"/>
              </w:rPr>
              <w:t>напівбрикетів</w:t>
            </w:r>
            <w:proofErr w:type="spellEnd"/>
            <w:r w:rsidR="00B03669">
              <w:rPr>
                <w:sz w:val="28"/>
                <w:szCs w:val="28"/>
              </w:rPr>
              <w:t xml:space="preserve"> торф’яних населенню – </w:t>
            </w:r>
            <w:r w:rsidR="008710B8" w:rsidRPr="008710B8">
              <w:rPr>
                <w:sz w:val="28"/>
                <w:szCs w:val="28"/>
              </w:rPr>
              <w:t>0,6</w:t>
            </w:r>
            <w:r w:rsidR="00B03669" w:rsidRPr="008710B8">
              <w:rPr>
                <w:sz w:val="28"/>
                <w:szCs w:val="28"/>
              </w:rPr>
              <w:t xml:space="preserve"> млн грн</w:t>
            </w:r>
            <w:r w:rsidR="00DB44BA">
              <w:rPr>
                <w:sz w:val="28"/>
                <w:szCs w:val="28"/>
              </w:rPr>
              <w:t>)</w:t>
            </w:r>
          </w:p>
        </w:tc>
      </w:tr>
      <w:tr w:rsidR="00F664A0" w:rsidTr="00D45057">
        <w:tc>
          <w:tcPr>
            <w:tcW w:w="4537" w:type="dxa"/>
          </w:tcPr>
          <w:p w:rsidR="00F664A0" w:rsidRPr="00C10DB2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t xml:space="preserve">Розмір коштів і час, що витрачатимуться суб’єктами господарювання, пов’язаними з виконанням вимог </w:t>
            </w:r>
            <w:proofErr w:type="spellStart"/>
            <w:r w:rsidRPr="00C10DB2"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380" w:type="dxa"/>
          </w:tcPr>
          <w:p w:rsidR="00F664A0" w:rsidRPr="00CF2274" w:rsidRDefault="00F664A0" w:rsidP="000F6D19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8710B8">
              <w:rPr>
                <w:sz w:val="28"/>
                <w:szCs w:val="28"/>
                <w:lang w:eastAsia="ru-RU"/>
              </w:rPr>
              <w:t xml:space="preserve">Витрати </w:t>
            </w:r>
            <w:r w:rsidR="008710B8" w:rsidRPr="008710B8">
              <w:rPr>
                <w:sz w:val="28"/>
                <w:szCs w:val="28"/>
                <w:lang w:eastAsia="ru-RU"/>
              </w:rPr>
              <w:t xml:space="preserve">Державного підприємства «Рівнеторф» </w:t>
            </w:r>
            <w:r w:rsidRPr="008710B8">
              <w:rPr>
                <w:sz w:val="28"/>
                <w:szCs w:val="28"/>
                <w:lang w:eastAsia="ru-RU"/>
              </w:rPr>
              <w:t xml:space="preserve">на оновлення виробничо-технічної бази, </w:t>
            </w:r>
            <w:r w:rsidR="0032242F">
              <w:rPr>
                <w:sz w:val="28"/>
                <w:szCs w:val="28"/>
                <w:lang w:eastAsia="ru-RU"/>
              </w:rPr>
              <w:t>збільшення розміру податкових</w:t>
            </w:r>
            <w:r w:rsidRPr="008710B8">
              <w:rPr>
                <w:sz w:val="28"/>
                <w:szCs w:val="28"/>
                <w:lang w:eastAsia="ru-RU"/>
              </w:rPr>
              <w:t xml:space="preserve"> платежі</w:t>
            </w:r>
            <w:r w:rsidR="0032242F">
              <w:rPr>
                <w:sz w:val="28"/>
                <w:szCs w:val="28"/>
                <w:lang w:eastAsia="ru-RU"/>
              </w:rPr>
              <w:t>в у 2022-2023 роках склали майже 6</w:t>
            </w:r>
            <w:r w:rsidR="008710B8" w:rsidRPr="008710B8">
              <w:rPr>
                <w:sz w:val="28"/>
                <w:szCs w:val="28"/>
                <w:lang w:eastAsia="ru-RU"/>
              </w:rPr>
              <w:t xml:space="preserve"> млн грн</w:t>
            </w:r>
            <w:r w:rsidR="009736A9">
              <w:rPr>
                <w:sz w:val="28"/>
                <w:szCs w:val="28"/>
                <w:lang w:eastAsia="ru-RU"/>
              </w:rPr>
              <w:t xml:space="preserve"> (</w:t>
            </w:r>
            <w:r w:rsidR="009736A9">
              <w:rPr>
                <w:sz w:val="28"/>
                <w:szCs w:val="28"/>
                <w:lang w:eastAsia="ru-RU"/>
              </w:rPr>
              <w:t>у січні-червні 2023 року</w:t>
            </w:r>
            <w:r w:rsidR="009736A9">
              <w:rPr>
                <w:sz w:val="28"/>
                <w:szCs w:val="28"/>
                <w:lang w:eastAsia="ru-RU"/>
              </w:rPr>
              <w:t xml:space="preserve"> – 3</w:t>
            </w:r>
            <w:r w:rsidR="0032242F">
              <w:rPr>
                <w:sz w:val="28"/>
                <w:szCs w:val="28"/>
                <w:lang w:eastAsia="ru-RU"/>
              </w:rPr>
              <w:t>,</w:t>
            </w:r>
            <w:r w:rsidR="000F6D19">
              <w:rPr>
                <w:sz w:val="28"/>
                <w:szCs w:val="28"/>
                <w:lang w:eastAsia="ru-RU"/>
              </w:rPr>
              <w:t>1</w:t>
            </w:r>
            <w:r w:rsidR="009736A9">
              <w:rPr>
                <w:sz w:val="28"/>
                <w:szCs w:val="28"/>
                <w:lang w:eastAsia="ru-RU"/>
              </w:rPr>
              <w:t xml:space="preserve"> млн грн)</w:t>
            </w:r>
          </w:p>
        </w:tc>
      </w:tr>
      <w:tr w:rsidR="00F664A0" w:rsidTr="00D45057">
        <w:tc>
          <w:tcPr>
            <w:tcW w:w="4537" w:type="dxa"/>
          </w:tcPr>
          <w:p w:rsidR="00F664A0" w:rsidRPr="00C10DB2" w:rsidRDefault="00F664A0" w:rsidP="00215A30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DB2">
              <w:rPr>
                <w:sz w:val="28"/>
                <w:szCs w:val="28"/>
              </w:rPr>
              <w:t xml:space="preserve">Рівень поінформованості суб’єктів господарювання з основних положень регуляторного </w:t>
            </w:r>
            <w:proofErr w:type="spellStart"/>
            <w:r w:rsidRPr="00C10DB2"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380" w:type="dxa"/>
          </w:tcPr>
          <w:p w:rsidR="00F664A0" w:rsidRPr="006D1686" w:rsidRDefault="00F664A0" w:rsidP="003B0D69">
            <w:pPr>
              <w:pStyle w:val="rvps2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Pr="00C10DB2">
              <w:rPr>
                <w:sz w:val="28"/>
                <w:szCs w:val="28"/>
              </w:rPr>
              <w:t xml:space="preserve">исокий, оскільки </w:t>
            </w:r>
            <w:r w:rsidR="00517639">
              <w:rPr>
                <w:sz w:val="28"/>
                <w:szCs w:val="28"/>
              </w:rPr>
              <w:t>розпорядження</w:t>
            </w:r>
            <w:r w:rsidRPr="00C10DB2">
              <w:rPr>
                <w:sz w:val="28"/>
                <w:szCs w:val="28"/>
              </w:rPr>
              <w:t xml:space="preserve"> розміщено на офіційному </w:t>
            </w:r>
            <w:proofErr w:type="spellStart"/>
            <w:r w:rsidRPr="00C10DB2">
              <w:rPr>
                <w:sz w:val="28"/>
                <w:szCs w:val="28"/>
              </w:rPr>
              <w:t>вебсайті</w:t>
            </w:r>
            <w:proofErr w:type="spellEnd"/>
            <w:r w:rsidRPr="00C10DB2">
              <w:rPr>
                <w:sz w:val="28"/>
                <w:szCs w:val="28"/>
              </w:rPr>
              <w:t xml:space="preserve"> Рівненської обласної державної адміністрації у </w:t>
            </w:r>
            <w:r w:rsidR="003B0D69">
              <w:rPr>
                <w:sz w:val="28"/>
                <w:szCs w:val="28"/>
              </w:rPr>
              <w:t>підрозділі</w:t>
            </w:r>
            <w:r w:rsidRPr="00C10DB2">
              <w:rPr>
                <w:sz w:val="28"/>
                <w:szCs w:val="28"/>
              </w:rPr>
              <w:t xml:space="preserve"> «</w:t>
            </w:r>
            <w:r w:rsidR="003B0D69">
              <w:rPr>
                <w:sz w:val="28"/>
                <w:szCs w:val="28"/>
              </w:rPr>
              <w:t>Розпорядження голови ОДА</w:t>
            </w:r>
            <w:r>
              <w:rPr>
                <w:sz w:val="28"/>
                <w:szCs w:val="28"/>
              </w:rPr>
              <w:t>» розділу «</w:t>
            </w:r>
            <w:r w:rsidR="003B0D69">
              <w:rPr>
                <w:sz w:val="28"/>
                <w:szCs w:val="28"/>
              </w:rPr>
              <w:t>Документи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664A0" w:rsidRPr="0041114C" w:rsidRDefault="00F664A0" w:rsidP="00F664A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F664A0" w:rsidRPr="00831EB6" w:rsidRDefault="00F664A0" w:rsidP="00F664A0">
      <w:pPr>
        <w:pStyle w:val="a3"/>
        <w:numPr>
          <w:ilvl w:val="0"/>
          <w:numId w:val="1"/>
        </w:numPr>
        <w:tabs>
          <w:tab w:val="left" w:pos="1134"/>
        </w:tabs>
        <w:ind w:left="0" w:firstLine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6">
        <w:rPr>
          <w:rFonts w:ascii="Times New Roman" w:hAnsi="Times New Roman" w:cs="Times New Roman"/>
          <w:b/>
          <w:sz w:val="28"/>
          <w:szCs w:val="28"/>
        </w:rPr>
        <w:t xml:space="preserve">Оцінка результатів реалізації регуляторного </w:t>
      </w:r>
      <w:proofErr w:type="spellStart"/>
      <w:r w:rsidRPr="00831EB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831EB6">
        <w:rPr>
          <w:rFonts w:ascii="Times New Roman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F664A0" w:rsidRPr="00B44629" w:rsidRDefault="00FD2178" w:rsidP="00F664A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n63"/>
      <w:bookmarkStart w:id="1" w:name="n65"/>
      <w:bookmarkStart w:id="2" w:name="n67"/>
      <w:bookmarkEnd w:id="0"/>
      <w:bookmarkEnd w:id="1"/>
      <w:bookmarkEnd w:id="2"/>
      <w:r w:rsidRPr="00B44629">
        <w:rPr>
          <w:rFonts w:ascii="Times New Roman" w:hAnsi="Times New Roman"/>
          <w:sz w:val="28"/>
          <w:szCs w:val="28"/>
        </w:rPr>
        <w:t>Реалізація</w:t>
      </w:r>
      <w:r w:rsidR="00F664A0" w:rsidRPr="00B44629">
        <w:rPr>
          <w:rFonts w:ascii="Times New Roman" w:hAnsi="Times New Roman"/>
          <w:sz w:val="28"/>
          <w:szCs w:val="28"/>
        </w:rPr>
        <w:t xml:space="preserve"> розпорядження</w:t>
      </w:r>
      <w:r w:rsidR="00B44629">
        <w:rPr>
          <w:rFonts w:ascii="Times New Roman" w:hAnsi="Times New Roman"/>
          <w:sz w:val="28"/>
          <w:szCs w:val="28"/>
        </w:rPr>
        <w:t xml:space="preserve"> стримує необґрунтоване зростання </w:t>
      </w:r>
      <w:r w:rsidR="00477049" w:rsidRPr="00B44629">
        <w:rPr>
          <w:rFonts w:ascii="Times New Roman" w:hAnsi="Times New Roman"/>
          <w:sz w:val="28"/>
          <w:szCs w:val="28"/>
        </w:rPr>
        <w:t xml:space="preserve">цін на </w:t>
      </w:r>
      <w:proofErr w:type="spellStart"/>
      <w:r w:rsidR="00477049" w:rsidRPr="00B44629">
        <w:rPr>
          <w:rFonts w:ascii="Times New Roman" w:hAnsi="Times New Roman"/>
          <w:sz w:val="28"/>
          <w:szCs w:val="28"/>
        </w:rPr>
        <w:t>торфопродукцію</w:t>
      </w:r>
      <w:proofErr w:type="spellEnd"/>
      <w:r w:rsidR="00477049" w:rsidRPr="00B44629">
        <w:rPr>
          <w:rFonts w:ascii="Times New Roman" w:hAnsi="Times New Roman"/>
          <w:sz w:val="28"/>
          <w:szCs w:val="28"/>
        </w:rPr>
        <w:t>, що відпускає</w:t>
      </w:r>
      <w:bookmarkStart w:id="3" w:name="_GoBack"/>
      <w:bookmarkEnd w:id="3"/>
      <w:r w:rsidR="00477049" w:rsidRPr="00B44629">
        <w:rPr>
          <w:rFonts w:ascii="Times New Roman" w:hAnsi="Times New Roman"/>
          <w:sz w:val="28"/>
          <w:szCs w:val="28"/>
        </w:rPr>
        <w:t>ться</w:t>
      </w:r>
      <w:r w:rsidR="00B44629">
        <w:rPr>
          <w:rFonts w:ascii="Times New Roman" w:hAnsi="Times New Roman"/>
          <w:sz w:val="28"/>
          <w:szCs w:val="28"/>
        </w:rPr>
        <w:t xml:space="preserve"> населенню для побутових потреб</w:t>
      </w:r>
      <w:r w:rsidR="0040402D">
        <w:rPr>
          <w:rFonts w:ascii="Times New Roman" w:hAnsi="Times New Roman"/>
          <w:sz w:val="28"/>
          <w:szCs w:val="28"/>
        </w:rPr>
        <w:t xml:space="preserve">, забезпечує </w:t>
      </w:r>
      <w:r w:rsidR="0040402D">
        <w:rPr>
          <w:rFonts w:ascii="Times New Roman" w:hAnsi="Times New Roman"/>
          <w:sz w:val="28"/>
          <w:szCs w:val="28"/>
        </w:rPr>
        <w:lastRenderedPageBreak/>
        <w:t>стабільну роботу суб’єктів господарювання торфовидобувної галузі та сприяє формуванню власних інвестиційних ресурсів.</w:t>
      </w:r>
    </w:p>
    <w:p w:rsidR="00477049" w:rsidRDefault="00F4502C" w:rsidP="0041114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2022-2023 роках Головним управлінням </w:t>
      </w:r>
      <w:proofErr w:type="spellStart"/>
      <w:r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в Рівненській області планові та позапланові заходи із здійснення державного нагляду (контролю) за дотриманням суб’єктами господарювання державної дисципліни цін при формуванні, встановленні та застосуванні цін на </w:t>
      </w:r>
      <w:r w:rsidR="0041114C">
        <w:rPr>
          <w:rFonts w:ascii="Times New Roman" w:hAnsi="Times New Roman"/>
          <w:sz w:val="28"/>
          <w:szCs w:val="28"/>
        </w:rPr>
        <w:t>торф паливний кусковий та торф’яні брикети</w:t>
      </w:r>
      <w:r w:rsidR="00F80629">
        <w:rPr>
          <w:rFonts w:ascii="Times New Roman" w:hAnsi="Times New Roman"/>
          <w:sz w:val="28"/>
          <w:szCs w:val="28"/>
        </w:rPr>
        <w:t xml:space="preserve">, </w:t>
      </w:r>
      <w:r w:rsidR="0041114C" w:rsidRPr="0041114C">
        <w:rPr>
          <w:rFonts w:ascii="Times New Roman" w:hAnsi="Times New Roman"/>
          <w:sz w:val="28"/>
          <w:szCs w:val="28"/>
        </w:rPr>
        <w:t xml:space="preserve">що </w:t>
      </w:r>
      <w:r w:rsidR="0041114C">
        <w:rPr>
          <w:rFonts w:ascii="Times New Roman" w:hAnsi="Times New Roman"/>
          <w:sz w:val="28"/>
          <w:szCs w:val="28"/>
        </w:rPr>
        <w:t xml:space="preserve">відпускаються населенню для побутових </w:t>
      </w:r>
      <w:r w:rsidR="0041114C" w:rsidRPr="0041114C">
        <w:rPr>
          <w:rFonts w:ascii="Times New Roman" w:hAnsi="Times New Roman"/>
          <w:sz w:val="28"/>
          <w:szCs w:val="28"/>
        </w:rPr>
        <w:t>потре</w:t>
      </w:r>
      <w:r w:rsidR="0041114C">
        <w:rPr>
          <w:rFonts w:ascii="Times New Roman" w:hAnsi="Times New Roman"/>
          <w:sz w:val="28"/>
          <w:szCs w:val="28"/>
        </w:rPr>
        <w:t xml:space="preserve">б, </w:t>
      </w:r>
      <w:r w:rsidR="00F80629">
        <w:rPr>
          <w:rFonts w:ascii="Times New Roman" w:hAnsi="Times New Roman"/>
          <w:sz w:val="28"/>
          <w:szCs w:val="28"/>
        </w:rPr>
        <w:t>не проводилися.</w:t>
      </w:r>
    </w:p>
    <w:p w:rsidR="0040402D" w:rsidRDefault="0040402D" w:rsidP="0041114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Зауважень та пропозицій до розпорядження протягом терміну його дії не надходило.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402D" w:rsidRDefault="0040402D" w:rsidP="0041114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</w:t>
      </w:r>
      <w:r w:rsidRPr="0040402D">
        <w:rPr>
          <w:rFonts w:ascii="Times New Roman" w:hAnsi="Times New Roman"/>
          <w:sz w:val="28"/>
          <w:szCs w:val="28"/>
        </w:rPr>
        <w:t xml:space="preserve"> акт внесення змін чи доповнень до нього не потребує</w:t>
      </w:r>
      <w:r>
        <w:rPr>
          <w:rFonts w:ascii="Times New Roman" w:hAnsi="Times New Roman"/>
          <w:sz w:val="28"/>
          <w:szCs w:val="28"/>
        </w:rPr>
        <w:t>.</w:t>
      </w:r>
    </w:p>
    <w:p w:rsidR="00F664A0" w:rsidRDefault="00F664A0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4A0" w:rsidRDefault="00F664A0" w:rsidP="00F66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Рівненської обласної</w:t>
      </w:r>
    </w:p>
    <w:p w:rsidR="00F664A0" w:rsidRDefault="00F664A0" w:rsidP="00F66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КОВАЛЬ</w:t>
      </w:r>
    </w:p>
    <w:p w:rsidR="00F664A0" w:rsidRDefault="00F664A0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42F" w:rsidRDefault="0032242F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4BA" w:rsidRDefault="00DB44BA" w:rsidP="00F66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3D" w:rsidRDefault="00F664A0" w:rsidP="00F664A0">
      <w:pPr>
        <w:jc w:val="both"/>
      </w:pPr>
      <w:r>
        <w:rPr>
          <w:rFonts w:ascii="Times New Roman" w:hAnsi="Times New Roman" w:cs="Times New Roman"/>
          <w:sz w:val="14"/>
          <w:szCs w:val="14"/>
        </w:rPr>
        <w:t>7-6289</w:t>
      </w:r>
    </w:p>
    <w:sectPr w:rsidR="00C8373D" w:rsidSect="009A6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D39"/>
    <w:multiLevelType w:val="hybridMultilevel"/>
    <w:tmpl w:val="F4201CAA"/>
    <w:lvl w:ilvl="0" w:tplc="639A7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1C1224"/>
    <w:multiLevelType w:val="hybridMultilevel"/>
    <w:tmpl w:val="4C9ED39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64"/>
    <w:rsid w:val="000214D5"/>
    <w:rsid w:val="00033198"/>
    <w:rsid w:val="00087B7C"/>
    <w:rsid w:val="000E320B"/>
    <w:rsid w:val="000F6D19"/>
    <w:rsid w:val="001947C1"/>
    <w:rsid w:val="001C1066"/>
    <w:rsid w:val="002A5290"/>
    <w:rsid w:val="002B4EB3"/>
    <w:rsid w:val="002C4E34"/>
    <w:rsid w:val="0032242F"/>
    <w:rsid w:val="00385E8B"/>
    <w:rsid w:val="003B0D69"/>
    <w:rsid w:val="003D5B50"/>
    <w:rsid w:val="003F2B8C"/>
    <w:rsid w:val="0040402D"/>
    <w:rsid w:val="0041114C"/>
    <w:rsid w:val="004121A0"/>
    <w:rsid w:val="004358D6"/>
    <w:rsid w:val="00477049"/>
    <w:rsid w:val="00496205"/>
    <w:rsid w:val="004E2181"/>
    <w:rsid w:val="004E7B0C"/>
    <w:rsid w:val="0051571B"/>
    <w:rsid w:val="00517639"/>
    <w:rsid w:val="00562F56"/>
    <w:rsid w:val="005B6338"/>
    <w:rsid w:val="0063631D"/>
    <w:rsid w:val="0067197D"/>
    <w:rsid w:val="0068571E"/>
    <w:rsid w:val="006E78DB"/>
    <w:rsid w:val="006F2773"/>
    <w:rsid w:val="00717E4A"/>
    <w:rsid w:val="00791682"/>
    <w:rsid w:val="007B0A51"/>
    <w:rsid w:val="00863B5B"/>
    <w:rsid w:val="008710B8"/>
    <w:rsid w:val="00895181"/>
    <w:rsid w:val="008A2C78"/>
    <w:rsid w:val="00904AD8"/>
    <w:rsid w:val="009736A9"/>
    <w:rsid w:val="009A64BA"/>
    <w:rsid w:val="009F4E30"/>
    <w:rsid w:val="00A1051F"/>
    <w:rsid w:val="00A1072A"/>
    <w:rsid w:val="00B03669"/>
    <w:rsid w:val="00B43A64"/>
    <w:rsid w:val="00B44629"/>
    <w:rsid w:val="00B75563"/>
    <w:rsid w:val="00BC3185"/>
    <w:rsid w:val="00C059C8"/>
    <w:rsid w:val="00C36068"/>
    <w:rsid w:val="00C8373D"/>
    <w:rsid w:val="00CB1ED9"/>
    <w:rsid w:val="00CF2274"/>
    <w:rsid w:val="00CF52E0"/>
    <w:rsid w:val="00D40544"/>
    <w:rsid w:val="00D45057"/>
    <w:rsid w:val="00D81103"/>
    <w:rsid w:val="00DA45AE"/>
    <w:rsid w:val="00DB44BA"/>
    <w:rsid w:val="00DC1387"/>
    <w:rsid w:val="00EB7D12"/>
    <w:rsid w:val="00EC22B0"/>
    <w:rsid w:val="00EC2A8E"/>
    <w:rsid w:val="00F30212"/>
    <w:rsid w:val="00F4502C"/>
    <w:rsid w:val="00F664A0"/>
    <w:rsid w:val="00F80629"/>
    <w:rsid w:val="00FD2178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7257-0364-4918-877D-BD1DB646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64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uiPriority w:val="34"/>
    <w:qFormat/>
    <w:rsid w:val="00F664A0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664A0"/>
    <w:pPr>
      <w:ind w:left="720"/>
      <w:contextualSpacing/>
    </w:pPr>
  </w:style>
  <w:style w:type="table" w:styleId="a4">
    <w:name w:val="Table Grid"/>
    <w:basedOn w:val="a1"/>
    <w:uiPriority w:val="39"/>
    <w:rsid w:val="00F6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4328</Words>
  <Characters>2468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2023-08-08T13:04:00Z</cp:lastPrinted>
  <dcterms:created xsi:type="dcterms:W3CDTF">2023-07-05T15:48:00Z</dcterms:created>
  <dcterms:modified xsi:type="dcterms:W3CDTF">2023-08-08T13:04:00Z</dcterms:modified>
</cp:coreProperties>
</file>