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ED4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ОБГРУНТУВАННЯ</w:t>
      </w:r>
    </w:p>
    <w:p w:rsidR="00AE1455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до процедури закупівлі відповідно до вимог постанови Кабінету Міністрів України від  11 жовтня 2016 року № 710 «Про ефективне використання державних коштів»</w:t>
      </w:r>
      <w:r w:rsidR="002A6EE8">
        <w:rPr>
          <w:rFonts w:ascii="Times New Roman" w:hAnsi="Times New Roman" w:cs="Times New Roman"/>
          <w:sz w:val="20"/>
          <w:szCs w:val="20"/>
        </w:rPr>
        <w:t xml:space="preserve"> із змінами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3"/>
        <w:gridCol w:w="1531"/>
        <w:gridCol w:w="4047"/>
        <w:gridCol w:w="5528"/>
      </w:tblGrid>
      <w:tr w:rsidR="00AE1455" w:rsidRPr="002A6EE8" w:rsidTr="002A6EE8">
        <w:tc>
          <w:tcPr>
            <w:tcW w:w="2122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Найменування предмету закупівлі, код відповідно до державного класифікатора</w:t>
            </w:r>
          </w:p>
        </w:tc>
        <w:tc>
          <w:tcPr>
            <w:tcW w:w="1843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Процедура закупівлі</w:t>
            </w:r>
          </w:p>
        </w:tc>
        <w:tc>
          <w:tcPr>
            <w:tcW w:w="1531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Очікувана вартість предмета закупівлі (з/без ПДВ)</w:t>
            </w:r>
          </w:p>
        </w:tc>
        <w:tc>
          <w:tcPr>
            <w:tcW w:w="4047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 та/або розміру бюджетного призначення</w:t>
            </w:r>
          </w:p>
        </w:tc>
        <w:tc>
          <w:tcPr>
            <w:tcW w:w="5528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</w:tr>
      <w:tr w:rsidR="00AE1455" w:rsidRPr="002A6EE8" w:rsidTr="002A6EE8">
        <w:tc>
          <w:tcPr>
            <w:tcW w:w="2122" w:type="dxa"/>
          </w:tcPr>
          <w:p w:rsidR="00341636" w:rsidRDefault="00FB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E0F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Персональні комп’ютери (системний блок) (код ДК 021:2015 – 30210000-4 «Машини для обробки даних (апаратна частина)  </w:t>
            </w:r>
          </w:p>
          <w:p w:rsidR="00341636" w:rsidRPr="002A6EE8" w:rsidRDefault="00FB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E0F">
              <w:rPr>
                <w:rFonts w:ascii="Times New Roman" w:hAnsi="Times New Roman" w:cs="Times New Roman"/>
                <w:sz w:val="20"/>
                <w:szCs w:val="20"/>
              </w:rPr>
              <w:t>ID: UA-2023-08-23-003892-a</w:t>
            </w:r>
          </w:p>
        </w:tc>
        <w:tc>
          <w:tcPr>
            <w:tcW w:w="1843" w:type="dxa"/>
          </w:tcPr>
          <w:p w:rsidR="00AE1455" w:rsidRPr="002A6EE8" w:rsidRDefault="00AE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1531" w:type="dxa"/>
          </w:tcPr>
          <w:p w:rsidR="00AE1455" w:rsidRPr="002A6EE8" w:rsidRDefault="00FB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120 600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,00 гривень з ПДВ</w:t>
            </w:r>
          </w:p>
        </w:tc>
        <w:tc>
          <w:tcPr>
            <w:tcW w:w="4047" w:type="dxa"/>
          </w:tcPr>
          <w:p w:rsidR="00AE1455" w:rsidRPr="002A6EE8" w:rsidRDefault="008213D5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 затвердженої наказом Мінекономіки від 18.02.2020 № 275, шляхом методу порівняння ринкових цін товарів з технічними </w:t>
            </w:r>
            <w:r w:rsidR="002A6EE8" w:rsidRPr="002A6EE8">
              <w:rPr>
                <w:rFonts w:ascii="Times New Roman" w:hAnsi="Times New Roman" w:cs="Times New Roman"/>
                <w:sz w:val="20"/>
                <w:szCs w:val="20"/>
              </w:rPr>
              <w:t>та якісними характеристиками, які відповідають предмету закупівлі</w:t>
            </w:r>
          </w:p>
        </w:tc>
        <w:tc>
          <w:tcPr>
            <w:tcW w:w="5528" w:type="dxa"/>
          </w:tcPr>
          <w:p w:rsidR="00AE1455" w:rsidRPr="002A6EE8" w:rsidRDefault="002A6EE8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</w:t>
            </w:r>
            <w:r w:rsidR="008213D5"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 закупівлі визначені за наявною потребою.</w:t>
            </w:r>
          </w:p>
          <w:p w:rsidR="002E3916" w:rsidRPr="002E3916" w:rsidRDefault="00AE68F8" w:rsidP="002E3916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ехнічні та якісні характеристики предмета закупівлі розроблені відповідно до наявної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потреби замовника та з урахуванням вимог нормативних документів у цій сфері та з</w:t>
            </w:r>
          </w:p>
          <w:p w:rsidR="002E3916" w:rsidRPr="002E3916" w:rsidRDefault="002E3916" w:rsidP="002E3916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916">
              <w:rPr>
                <w:rFonts w:ascii="Times New Roman" w:hAnsi="Times New Roman" w:cs="Times New Roman"/>
                <w:sz w:val="20"/>
                <w:szCs w:val="20"/>
              </w:rPr>
              <w:t>урахуванням вимог нормативних документів у сфері стандартизації.</w:t>
            </w:r>
          </w:p>
          <w:p w:rsidR="002E3916" w:rsidRPr="002E3916" w:rsidRDefault="00AE68F8" w:rsidP="00983AEF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організації роботи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працівників апарату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 необхідне забезпечення їх комп’ютерною технікою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3916"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Частина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комп’ютерної техніки, а саме персональні комп’ютери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, які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використовуються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у структурних підрозділах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 xml:space="preserve"> апарату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Рівненської облдержадміністрації морально та фізично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застаріла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Зазначена техніка внаслідок тривалого використання дуже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часто виходить з ладу та потребує постійної профілактики і замін</w:t>
            </w:r>
            <w:r w:rsidR="009C1A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складових частин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Також, програмне</w:t>
            </w:r>
            <w:r w:rsidR="00983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забезпечення, яке використовується на вказаній комп’ютерній техніці (операційні системи,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та деякі інші версії ПЗ) більше не підтримується виробниками, що унеможливлює його</w:t>
            </w:r>
            <w:r w:rsidR="00983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оновлення. Вони потребують забезпечення новою комп’ютерною та оргтехнікою з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>системними можливостями, достатніми для виконання поставлених перед структурними</w:t>
            </w:r>
          </w:p>
          <w:p w:rsidR="00AE68F8" w:rsidRDefault="002E3916" w:rsidP="002E3916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підрозділами завдань.  </w:t>
            </w:r>
          </w:p>
          <w:p w:rsidR="002E3916" w:rsidRDefault="00AE68F8" w:rsidP="002E3916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Виходячи з вищезазначеного, для забезпечення потреб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>установи</w:t>
            </w:r>
            <w:r w:rsidR="002E3916" w:rsidRPr="002E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916">
              <w:rPr>
                <w:rFonts w:ascii="Times New Roman" w:hAnsi="Times New Roman" w:cs="Times New Roman"/>
                <w:sz w:val="20"/>
                <w:szCs w:val="20"/>
              </w:rPr>
              <w:t xml:space="preserve">необхідно придбати персональні комп’ютери (системні блоки). </w:t>
            </w:r>
          </w:p>
          <w:p w:rsidR="008213D5" w:rsidRPr="002A6EE8" w:rsidRDefault="00AE68F8" w:rsidP="002E39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213D5"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 предмета закупівлі зазначаються у відповідному додатку до тендерної документації</w:t>
            </w:r>
          </w:p>
        </w:tc>
      </w:tr>
    </w:tbl>
    <w:p w:rsidR="00AE1455" w:rsidRPr="002A6EE8" w:rsidRDefault="00AE1455">
      <w:pPr>
        <w:rPr>
          <w:rFonts w:ascii="Times New Roman" w:hAnsi="Times New Roman" w:cs="Times New Roman"/>
          <w:sz w:val="20"/>
          <w:szCs w:val="20"/>
        </w:rPr>
      </w:pPr>
    </w:p>
    <w:p w:rsidR="002A6EE8" w:rsidRPr="002A6EE8" w:rsidRDefault="002A6EE8">
      <w:pPr>
        <w:rPr>
          <w:rFonts w:ascii="Times New Roman" w:hAnsi="Times New Roman" w:cs="Times New Roman"/>
          <w:sz w:val="20"/>
          <w:szCs w:val="20"/>
        </w:rPr>
      </w:pPr>
    </w:p>
    <w:sectPr w:rsidR="002A6EE8" w:rsidRPr="002A6EE8" w:rsidSect="002A6E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5"/>
    <w:rsid w:val="002A6EE8"/>
    <w:rsid w:val="002E3916"/>
    <w:rsid w:val="00341636"/>
    <w:rsid w:val="008213D5"/>
    <w:rsid w:val="00983AEF"/>
    <w:rsid w:val="009C1AA9"/>
    <w:rsid w:val="00AE1455"/>
    <w:rsid w:val="00AE68F8"/>
    <w:rsid w:val="00C1239F"/>
    <w:rsid w:val="00C74ED4"/>
    <w:rsid w:val="00FB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9F86"/>
  <w15:chartTrackingRefBased/>
  <w15:docId w15:val="{5AB3AB8C-28B0-46BD-8425-52558B2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2023-05-19T06:38:00Z</dcterms:created>
  <dcterms:modified xsi:type="dcterms:W3CDTF">2023-08-24T09:20:00Z</dcterms:modified>
</cp:coreProperties>
</file>