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C4" w:rsidRPr="005A66C4" w:rsidRDefault="005A66C4" w:rsidP="005A66C4">
      <w:pPr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6C4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</w:p>
    <w:p w:rsidR="005A66C4" w:rsidRPr="005A66C4" w:rsidRDefault="005A66C4" w:rsidP="005A66C4">
      <w:pPr>
        <w:spacing w:after="0" w:line="228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6C4">
        <w:rPr>
          <w:rFonts w:ascii="Times New Roman" w:eastAsia="Times New Roman" w:hAnsi="Times New Roman"/>
          <w:sz w:val="28"/>
          <w:szCs w:val="28"/>
          <w:lang w:eastAsia="ru-RU"/>
        </w:rPr>
        <w:t>до розпорядження голови облдержадміністрації</w:t>
      </w:r>
    </w:p>
    <w:p w:rsidR="005A66C4" w:rsidRPr="009D759A" w:rsidRDefault="009D759A" w:rsidP="005A66C4">
      <w:pPr>
        <w:spacing w:after="120" w:line="228" w:lineRule="auto"/>
        <w:ind w:left="10773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 w:cs="Calibri"/>
          <w:sz w:val="28"/>
          <w:szCs w:val="28"/>
          <w:lang w:val="en-US"/>
        </w:rPr>
        <w:t xml:space="preserve">26.11.2021 </w:t>
      </w:r>
      <w:r w:rsidR="005A66C4" w:rsidRPr="005A66C4">
        <w:rPr>
          <w:rFonts w:ascii="Times New Roman" w:hAnsi="Times New Roman" w:cs="Calibri"/>
          <w:sz w:val="28"/>
          <w:szCs w:val="28"/>
        </w:rPr>
        <w:t>№</w:t>
      </w:r>
      <w:r>
        <w:rPr>
          <w:rFonts w:ascii="Times New Roman" w:hAnsi="Times New Roman" w:cs="Calibri"/>
          <w:sz w:val="28"/>
          <w:szCs w:val="28"/>
          <w:lang w:val="en-US"/>
        </w:rPr>
        <w:t xml:space="preserve"> 863</w:t>
      </w:r>
      <w:bookmarkStart w:id="0" w:name="_GoBack"/>
      <w:bookmarkEnd w:id="0"/>
    </w:p>
    <w:p w:rsidR="00E74676" w:rsidRPr="00E74676" w:rsidRDefault="005A66C4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Зміни до</w:t>
      </w:r>
      <w:r w:rsidR="00E74676" w:rsidRPr="00E74676">
        <w:rPr>
          <w:rFonts w:ascii="Times New Roman" w:hAnsi="Times New Roman"/>
          <w:b/>
          <w:sz w:val="24"/>
          <w:szCs w:val="24"/>
        </w:rPr>
        <w:t xml:space="preserve"> Обласної цільової соціальної програми національно-патріотичного виховання </w:t>
      </w:r>
    </w:p>
    <w:p w:rsidR="00E74676" w:rsidRDefault="00E74676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676">
        <w:rPr>
          <w:rFonts w:ascii="Times New Roman" w:hAnsi="Times New Roman"/>
          <w:b/>
          <w:sz w:val="24"/>
          <w:szCs w:val="24"/>
        </w:rPr>
        <w:t>у Рівненській області на 2021 – 2025 роки</w:t>
      </w:r>
    </w:p>
    <w:p w:rsidR="005A66C4" w:rsidRDefault="005A66C4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3026" w:rsidRPr="009579EB" w:rsidRDefault="003C3026" w:rsidP="001636BB">
      <w:pPr>
        <w:pStyle w:val="a3"/>
        <w:numPr>
          <w:ilvl w:val="0"/>
          <w:numId w:val="5"/>
        </w:numPr>
        <w:spacing w:after="0" w:line="228" w:lineRule="auto"/>
        <w:ind w:right="-7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9EB">
        <w:rPr>
          <w:rFonts w:ascii="Times New Roman" w:eastAsia="Times New Roman" w:hAnsi="Times New Roman"/>
          <w:sz w:val="24"/>
          <w:szCs w:val="24"/>
          <w:lang w:eastAsia="ru-RU"/>
        </w:rPr>
        <w:t xml:space="preserve">У розділі </w:t>
      </w:r>
      <w:r w:rsidR="009579EB" w:rsidRPr="009579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Програми </w:t>
      </w:r>
      <w:r w:rsidRPr="009579EB">
        <w:rPr>
          <w:rFonts w:ascii="Times New Roman" w:eastAsia="Times New Roman" w:hAnsi="Times New Roman"/>
          <w:sz w:val="24"/>
          <w:szCs w:val="24"/>
          <w:lang w:eastAsia="ru-RU"/>
        </w:rPr>
        <w:t>«Координація та контроль за ходом виконання Програми»:</w:t>
      </w:r>
    </w:p>
    <w:p w:rsidR="003C3026" w:rsidRDefault="003C3026" w:rsidP="001636BB">
      <w:pPr>
        <w:pStyle w:val="a3"/>
        <w:spacing w:after="0" w:line="228" w:lineRule="auto"/>
        <w:ind w:left="142" w:right="-7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«департамент 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>розвитку адміністративних послуг, соціальної, молодіжної політики та спорту обласної державної адміністрації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>в усіх відмінках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замінити 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>управління у справах молоді та спорту обласної державної адміністрації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 xml:space="preserve"> у відповідному відмінку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3026" w:rsidRDefault="003C3026" w:rsidP="001636BB">
      <w:pPr>
        <w:pStyle w:val="a3"/>
        <w:spacing w:after="0" w:line="228" w:lineRule="auto"/>
        <w:ind w:left="142" w:right="-7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слова «управління освіти і науки обласної державної адміністрації»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усіх відмінках замінити 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</w:t>
      </w:r>
      <w:r w:rsidRPr="003C3026">
        <w:rPr>
          <w:rFonts w:ascii="Times New Roman" w:eastAsia="Times New Roman" w:hAnsi="Times New Roman"/>
          <w:sz w:val="24"/>
          <w:szCs w:val="24"/>
          <w:lang w:eastAsia="ru-RU"/>
        </w:rPr>
        <w:t xml:space="preserve"> освіти і науки обласної державної адміністрації» </w:t>
      </w:r>
      <w:r w:rsidR="009579EB">
        <w:rPr>
          <w:rFonts w:ascii="Times New Roman" w:eastAsia="Times New Roman" w:hAnsi="Times New Roman"/>
          <w:sz w:val="24"/>
          <w:szCs w:val="24"/>
          <w:lang w:eastAsia="ru-RU"/>
        </w:rPr>
        <w:t>у відповідному відмінку.</w:t>
      </w:r>
    </w:p>
    <w:p w:rsidR="009579EB" w:rsidRPr="003C3026" w:rsidRDefault="009579EB" w:rsidP="001636BB">
      <w:pPr>
        <w:pStyle w:val="a3"/>
        <w:spacing w:after="0" w:line="228" w:lineRule="auto"/>
        <w:ind w:left="142" w:right="-7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6C4" w:rsidRPr="0057577E" w:rsidRDefault="009579EB" w:rsidP="001636BB">
      <w:pPr>
        <w:spacing w:after="0" w:line="228" w:lineRule="auto"/>
        <w:ind w:left="142" w:right="-7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A66C4" w:rsidRPr="0057577E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до Програми «Завдання і заходи з реалізації Обласної цільової соціальної програми національно-патріотичного виховання </w:t>
      </w:r>
      <w:r w:rsidR="001636B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A66C4" w:rsidRPr="0057577E">
        <w:rPr>
          <w:rFonts w:ascii="Times New Roman" w:eastAsia="Times New Roman" w:hAnsi="Times New Roman"/>
          <w:sz w:val="24"/>
          <w:szCs w:val="24"/>
          <w:lang w:eastAsia="ru-RU"/>
        </w:rPr>
        <w:t xml:space="preserve">у Рівненській області на 2021 – 2025 роки» викласти у такій редакції: </w:t>
      </w:r>
    </w:p>
    <w:p w:rsidR="005A66C4" w:rsidRDefault="00283732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60288" behindDoc="1" locked="0" layoutInCell="1" allowOverlap="1" wp14:anchorId="02458B03" wp14:editId="40F29B13">
            <wp:simplePos x="0" y="0"/>
            <wp:positionH relativeFrom="page">
              <wp:align>left</wp:align>
            </wp:positionH>
            <wp:positionV relativeFrom="paragraph">
              <wp:posOffset>29845</wp:posOffset>
            </wp:positionV>
            <wp:extent cx="304800" cy="314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876" w:type="dxa"/>
        <w:jc w:val="center"/>
        <w:tblLayout w:type="fixed"/>
        <w:tblLook w:val="01E0" w:firstRow="1" w:lastRow="1" w:firstColumn="1" w:lastColumn="1" w:noHBand="0" w:noVBand="0"/>
      </w:tblPr>
      <w:tblGrid>
        <w:gridCol w:w="423"/>
        <w:gridCol w:w="2549"/>
        <w:gridCol w:w="1134"/>
        <w:gridCol w:w="709"/>
        <w:gridCol w:w="709"/>
        <w:gridCol w:w="708"/>
        <w:gridCol w:w="709"/>
        <w:gridCol w:w="709"/>
        <w:gridCol w:w="2409"/>
        <w:gridCol w:w="6"/>
        <w:gridCol w:w="1128"/>
        <w:gridCol w:w="6"/>
        <w:gridCol w:w="1128"/>
        <w:gridCol w:w="6"/>
        <w:gridCol w:w="703"/>
        <w:gridCol w:w="6"/>
        <w:gridCol w:w="703"/>
        <w:gridCol w:w="6"/>
        <w:gridCol w:w="703"/>
        <w:gridCol w:w="6"/>
        <w:gridCol w:w="707"/>
        <w:gridCol w:w="6"/>
        <w:gridCol w:w="703"/>
      </w:tblGrid>
      <w:tr w:rsidR="007D494B" w:rsidRPr="007650D2" w:rsidTr="00283732">
        <w:trPr>
          <w:cantSplit/>
          <w:tblHeader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Строк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виконан</w:t>
            </w:r>
            <w:proofErr w:type="spellEnd"/>
            <w:r w:rsidR="00187B0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ня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Кількісні показники по роках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 фінансу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Орієнтов</w:t>
            </w:r>
            <w:proofErr w:type="spellEnd"/>
            <w:r w:rsidR="00406F7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ні обсяги видатків, тис. гр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ивень</w:t>
            </w:r>
          </w:p>
        </w:tc>
        <w:tc>
          <w:tcPr>
            <w:tcW w:w="3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тому числі за роками, тис. гривень</w:t>
            </w:r>
          </w:p>
        </w:tc>
      </w:tr>
      <w:tr w:rsidR="00C072A4" w:rsidRPr="007650D2" w:rsidTr="00283732">
        <w:trPr>
          <w:cantSplit/>
          <w:tblHeader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keepNext/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keepNext/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E74676" w:rsidRPr="007650D2" w:rsidTr="00406F7F">
        <w:trPr>
          <w:cantSplit/>
          <w:jc w:val="center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74" w:rsidRPr="007650D2" w:rsidRDefault="00E74676" w:rsidP="00E346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Пріоритет 1. Формування української громадянської ідентичності - здійснення заходів, спрямованих на впровадження та утвердження суспільно-державних (національних) цінностей, розвит</w:t>
            </w:r>
            <w:r w:rsidR="002023D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к громадянської ідентичності населення України</w:t>
            </w:r>
          </w:p>
        </w:tc>
      </w:tr>
      <w:tr w:rsidR="00406F7F" w:rsidRPr="007650D2" w:rsidTr="00283732">
        <w:trPr>
          <w:cantSplit/>
          <w:trHeight w:val="91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конкурсу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творчих робіт, присвячених 30-й річниці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езалежності України </w:t>
            </w:r>
            <w:r w:rsidR="00283732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             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«30 для Незалежної»</w:t>
            </w:r>
          </w:p>
          <w:p w:rsidR="00283732" w:rsidRPr="007650D2" w:rsidRDefault="00283732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 рік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406F7F">
            <w:pPr>
              <w:widowControl w:val="0"/>
              <w:shd w:val="clear" w:color="auto" w:fill="FFFFFF"/>
              <w:spacing w:after="0" w:line="240" w:lineRule="auto"/>
              <w:ind w:firstLine="18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7" w:rsidRPr="007650D2" w:rsidRDefault="0011321A" w:rsidP="00F232D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комунальний заклад «Рівненський обласний молодіжний пластовий </w:t>
            </w:r>
            <w:proofErr w:type="spellStart"/>
            <w:r w:rsidR="00AE7A56" w:rsidRPr="007650D2">
              <w:rPr>
                <w:rFonts w:ascii="Times New Roman" w:hAnsi="Times New Roman"/>
                <w:sz w:val="20"/>
                <w:szCs w:val="20"/>
              </w:rPr>
              <w:t>вишкільний</w:t>
            </w:r>
            <w:proofErr w:type="spellEnd"/>
            <w:r w:rsidR="00AE7A56" w:rsidRPr="007650D2">
              <w:rPr>
                <w:rFonts w:ascii="Times New Roman" w:hAnsi="Times New Roman"/>
                <w:sz w:val="20"/>
                <w:szCs w:val="20"/>
              </w:rPr>
              <w:t xml:space="preserve"> центр» Рівненської обласної 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1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ind w:firstLine="3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76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ind w:firstLine="3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електронної книги «Герої АТО/ООС із Рівненщини»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 рік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7" w:rsidRPr="007650D2" w:rsidRDefault="00AE7A56" w:rsidP="00F232D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Рівненської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омунальний заклад «Рівненський обласний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краєзнавчий музей» Рівненської обласної ради</w:t>
            </w:r>
            <w:r w:rsidR="004F2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сучасних пересувних музейних виставок з історії українського національно-визвольного руху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–2025</w:t>
            </w:r>
            <w:r w:rsidRPr="007650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0F" w:rsidRPr="007650D2" w:rsidRDefault="00E74676" w:rsidP="00F232D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к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омунальний заклад «Рівненський обласний краєзнавчий музей» Рівненської обласної 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75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історично-пошукової роботи з встановлення та благоустрою місць, пов’язаних з національно-визвольними змаганнями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–2025</w:t>
            </w:r>
            <w:r w:rsidRPr="007650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7" w:rsidRPr="007650D2" w:rsidRDefault="0011321A" w:rsidP="00F232D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комунальний заклад «Рівненський обласний молодіжний пластовий </w:t>
            </w:r>
            <w:proofErr w:type="spellStart"/>
            <w:r w:rsidR="00E74676" w:rsidRPr="007650D2">
              <w:rPr>
                <w:rFonts w:ascii="Times New Roman" w:hAnsi="Times New Roman"/>
                <w:sz w:val="20"/>
                <w:szCs w:val="20"/>
              </w:rPr>
              <w:t>вишкільний</w:t>
            </w:r>
            <w:proofErr w:type="spellEnd"/>
            <w:r w:rsidR="00E74676" w:rsidRPr="007650D2">
              <w:rPr>
                <w:rFonts w:ascii="Times New Roman" w:hAnsi="Times New Roman"/>
                <w:sz w:val="20"/>
                <w:szCs w:val="20"/>
              </w:rPr>
              <w:t xml:space="preserve"> центр» Рівненської обласної ради, управління культури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і</w:t>
            </w:r>
            <w:r w:rsidR="00283732">
              <w:rPr>
                <w:rFonts w:ascii="Times New Roman" w:hAnsi="Times New Roman"/>
                <w:sz w:val="20"/>
                <w:szCs w:val="20"/>
              </w:rPr>
              <w:t xml:space="preserve"> туризму облдержадмі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ністрації  комунальний заклад «Рівненський обласний краєзнавчий музей» Рівненської обласної ради, райдержадміністрації, викон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авчі 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ком</w:t>
            </w:r>
            <w:r w:rsidR="002023DD">
              <w:rPr>
                <w:rFonts w:ascii="Times New Roman" w:hAnsi="Times New Roman"/>
                <w:sz w:val="20"/>
                <w:szCs w:val="20"/>
              </w:rPr>
              <w:t>ітет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и сільських, селищних, міських рад територіальних громад,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75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06F7F" w:rsidRPr="007650D2" w:rsidTr="00283732">
        <w:trPr>
          <w:cantSplit/>
          <w:trHeight w:val="175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06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інтерактивної мапи національно-визвольних змагань на території Рівненської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–2025</w:t>
            </w:r>
            <w:r w:rsidRPr="007650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7" w:rsidRPr="007650D2" w:rsidRDefault="00AE7A56" w:rsidP="00F232D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комунальний заклад «Рівненський обласний краєзнавчий музей» Рівненської обласної ради, комунальний заклад «Регіональний інформаційно-комп'ютерний 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ентр» Рівненської обласної ради,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F30DA3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1B4CD1" w:rsidRDefault="00F30DA3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sz w:val="20"/>
                <w:szCs w:val="20"/>
              </w:rPr>
              <w:t>2</w:t>
            </w:r>
            <w:r w:rsidR="00AE7A56" w:rsidRPr="00F30DA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06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06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2889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організації та проведення заходів до визначних та пам’я</w:t>
            </w:r>
            <w:r w:rsidR="002D3A18">
              <w:rPr>
                <w:rFonts w:ascii="Times New Roman" w:hAnsi="Times New Roman"/>
                <w:sz w:val="20"/>
                <w:szCs w:val="20"/>
              </w:rPr>
              <w:t>тних дат, пов’язаних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з історією боротьби за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езалежність України; видатним особистостям українського державотворення, зокрема: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Соборності України;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створення першої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сотні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боївок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ОУН-Р;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пам’яті Героїв Крут;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Першого бою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боївок</w:t>
            </w:r>
            <w:proofErr w:type="spellEnd"/>
          </w:p>
          <w:p w:rsidR="00E74676" w:rsidRPr="007650D2" w:rsidRDefault="002D3A18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ОУН-Р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E74676" w:rsidRPr="007650D2">
              <w:rPr>
                <w:rFonts w:ascii="Times New Roman" w:hAnsi="Times New Roman"/>
                <w:sz w:val="20"/>
                <w:szCs w:val="20"/>
              </w:rPr>
              <w:t>Володимирці</w:t>
            </w:r>
            <w:proofErr w:type="spellEnd"/>
            <w:r w:rsidR="00E74676" w:rsidRPr="007650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Державного Герба України;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народження Уласа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Самчука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Героїв Небесної Сотні;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Міжнародного дня рідної мови;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Днів пам’яті Тараса Шевченка;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добровольця;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перемоги над нацизмом у Другій Світовій війні;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Європи;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Матері;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пам’яті жертв політичних репресій;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Міжнародного дня сім’ї;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Дня Героїв;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Конституції України;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заснування УПА «Поліська Січ»;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Державного Прапора України;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Н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езалежності України;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захисника України;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української писемності і мови;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пам’яті жертв Голодоморів в Україні; </w:t>
            </w:r>
          </w:p>
          <w:p w:rsidR="00E74676" w:rsidRPr="007650D2" w:rsidRDefault="00E74676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Гідності та Свободи тощо.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11321A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 управління культури і туризму облдержадміністрації, відділення </w:t>
            </w:r>
            <w:r w:rsidR="002023DD" w:rsidRPr="002B20AA">
              <w:rPr>
                <w:rFonts w:ascii="Times New Roman" w:hAnsi="Times New Roman"/>
                <w:sz w:val="20"/>
                <w:szCs w:val="20"/>
              </w:rPr>
              <w:t>цивільно-військового співробітництва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оперативного командування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 «ЗАХІД»,  Рівненськ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ий обласний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територіальний </w:t>
            </w:r>
            <w:r w:rsidR="002023DD" w:rsidRPr="002B20AA">
              <w:rPr>
                <w:rFonts w:ascii="Times New Roman" w:hAnsi="Times New Roman"/>
                <w:sz w:val="20"/>
                <w:szCs w:val="20"/>
              </w:rPr>
              <w:t>центр комплектування та соціальної підтримк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и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у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>правління патрульної поліції в Рівненській області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 Департаменту патрульної поліції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, райдержадміністрації,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виконавчі комітети</w:t>
            </w:r>
            <w:r w:rsidR="002023DD" w:rsidRPr="007650D2">
              <w:rPr>
                <w:rFonts w:ascii="Times New Roman" w:hAnsi="Times New Roman"/>
                <w:sz w:val="20"/>
                <w:szCs w:val="20"/>
              </w:rPr>
              <w:t xml:space="preserve"> сільських, селищних, міських рад територіальних громад, Рівненська обласна організація Національної спілки письменників України,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3366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336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конкурсів письмових есе, фотографій та відеороликів, в тому числі у  соціальних мережах</w:t>
            </w:r>
            <w:r w:rsidR="002023DD"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на тему патріотизму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DD" w:rsidRDefault="002023DD" w:rsidP="002023D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Default="0011321A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 w:rsidR="00E74676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інститути громадянського суспільства</w:t>
            </w:r>
          </w:p>
          <w:p w:rsidR="00BC120F" w:rsidRDefault="00BC120F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20F" w:rsidRPr="007650D2" w:rsidRDefault="00BC120F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2023D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2152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4F2E33" w:rsidRDefault="005557F7" w:rsidP="005557F7">
            <w:pPr>
              <w:widowControl w:val="0"/>
              <w:shd w:val="clear" w:color="auto" w:fill="FFFFFF"/>
              <w:tabs>
                <w:tab w:val="left" w:pos="13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E33">
              <w:rPr>
                <w:rFonts w:ascii="Times New Roman" w:hAnsi="Times New Roman"/>
                <w:sz w:val="20"/>
                <w:szCs w:val="20"/>
              </w:rPr>
              <w:t xml:space="preserve">Проведення заходів (конкурсів, акцій, диспутів, дебатів, історичних </w:t>
            </w:r>
            <w:proofErr w:type="spellStart"/>
            <w:r w:rsidRPr="004F2E33">
              <w:rPr>
                <w:rFonts w:ascii="Times New Roman" w:hAnsi="Times New Roman"/>
                <w:sz w:val="20"/>
                <w:szCs w:val="20"/>
              </w:rPr>
              <w:t>квестів</w:t>
            </w:r>
            <w:proofErr w:type="spellEnd"/>
            <w:r w:rsidRPr="004F2E33">
              <w:rPr>
                <w:rFonts w:ascii="Times New Roman" w:hAnsi="Times New Roman"/>
                <w:sz w:val="20"/>
                <w:szCs w:val="20"/>
              </w:rPr>
              <w:t xml:space="preserve">, тренінгів, семінарів, фестивалів тощо), спрямованих на: </w:t>
            </w:r>
          </w:p>
          <w:p w:rsidR="005557F7" w:rsidRPr="004F2E33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E33">
              <w:rPr>
                <w:rFonts w:ascii="Times New Roman" w:hAnsi="Times New Roman"/>
                <w:sz w:val="20"/>
                <w:szCs w:val="20"/>
              </w:rPr>
              <w:t>популяризацію національної духовно-культурної спадщини;</w:t>
            </w:r>
          </w:p>
          <w:p w:rsidR="005557F7" w:rsidRPr="004F2E33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E33">
              <w:rPr>
                <w:rFonts w:ascii="Times New Roman" w:hAnsi="Times New Roman"/>
                <w:sz w:val="20"/>
                <w:szCs w:val="20"/>
              </w:rPr>
              <w:t>підвищення рівня знань про видатних особистостей українського державотворення та історію боротьби за незалежність України;</w:t>
            </w:r>
          </w:p>
          <w:p w:rsidR="005557F7" w:rsidRPr="004F2E33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E33">
              <w:rPr>
                <w:rFonts w:ascii="Times New Roman" w:hAnsi="Times New Roman"/>
                <w:sz w:val="20"/>
                <w:szCs w:val="20"/>
              </w:rPr>
              <w:t>відзначення визначних пам’ятних дат з історії України;</w:t>
            </w:r>
          </w:p>
          <w:p w:rsidR="005557F7" w:rsidRPr="004F2E33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2E33">
              <w:rPr>
                <w:rFonts w:ascii="Times New Roman" w:hAnsi="Times New Roman"/>
                <w:sz w:val="20"/>
                <w:szCs w:val="20"/>
              </w:rPr>
              <w:t>вшанування пам’яті борців за незалежність України у ХХ столітті, осіб, які брали участь у захисті суверенітету та територіальної цілісності України, в антитерористичній операції на сході України, Героїв Небесної Сотні тощо</w:t>
            </w:r>
          </w:p>
          <w:p w:rsidR="005557F7" w:rsidRPr="004F2E33" w:rsidRDefault="005557F7" w:rsidP="005557F7">
            <w:pPr>
              <w:widowControl w:val="0"/>
              <w:shd w:val="clear" w:color="auto" w:fill="FFFFFF"/>
              <w:tabs>
                <w:tab w:val="left" w:pos="13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</w:t>
            </w:r>
            <w:r w:rsidR="005557F7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406F7F" w:rsidRPr="007650D2" w:rsidTr="00283732">
        <w:trPr>
          <w:cantSplit/>
          <w:trHeight w:val="1986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198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361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обласних, місцевих заходів (акцій, конкурсів, тренінгів, ігор, форумів тощо), спрямованих на підвищення рівня знань та розширення сфери застосування української мови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</w:t>
            </w:r>
            <w:r w:rsidR="005557F7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B4C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освіти</w:t>
            </w:r>
            <w:r w:rsidR="001B4C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науки облдержадміністрації,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громад,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інститути громадянського суспільства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F232DF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F232DF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F232DF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F232DF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F232DF" w:rsidP="005557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F232DF" w:rsidP="005557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106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52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проведення у закладах освіти тематичних уроків, виховних годин, майстер-класів, лекцій, бесід</w:t>
            </w:r>
            <w:r w:rsidR="00A041D1"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конкурсів, фестивалів, тощо до Дня української писемності та мови, інших пам’ятних та державних свят за участю представників громадських об’єднань, воїнів АТО/ООС, представників управління патрульної поліції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Default="0011321A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0066EC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0066EC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управління патрульної поліції в Рівненській області Департаменту патрульної поліції, </w:t>
            </w:r>
            <w:r w:rsidR="000066EC">
              <w:t xml:space="preserve"> </w:t>
            </w:r>
            <w:r w:rsidR="000066EC">
              <w:rPr>
                <w:rFonts w:ascii="Times New Roman" w:hAnsi="Times New Roman"/>
                <w:sz w:val="20"/>
                <w:szCs w:val="20"/>
              </w:rPr>
              <w:t xml:space="preserve">відділення цивільно-військового співробітництва оперативного командування «ЗАХІД», виконавчі комітети  сільських, селищних, міських рад територіальних громад, </w:t>
            </w:r>
            <w:r w:rsidR="000066EC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Рівненська обласна організація Національної спілки письменників України, Рівненське обласне об’єднання Всеукраїнського товариства «Просвіта» імені Тараса Шевченка</w:t>
            </w:r>
          </w:p>
          <w:p w:rsidR="00B776C7" w:rsidRPr="007650D2" w:rsidRDefault="00B776C7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52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52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проведення екскурсій здобувачів освіти з метою відвідання визначних історичних місць, ознайомлення з пам’ятками української історії та 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Default="0011321A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0066EC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управління культури і туризму облдержадміністрації, райдержадміністрації, </w:t>
            </w:r>
            <w:r w:rsidR="000066EC"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="000066EC"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 </w:t>
            </w:r>
          </w:p>
          <w:p w:rsidR="00B776C7" w:rsidRPr="007650D2" w:rsidRDefault="00B776C7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AD11A9" w:rsidTr="00283732">
        <w:trPr>
          <w:cantSplit/>
          <w:trHeight w:val="114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обласних заходів, спрямованих на формування патріотизму у дітей та учнівської молоді: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обласн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зл</w:t>
            </w:r>
            <w:r>
              <w:rPr>
                <w:rFonts w:ascii="Times New Roman" w:hAnsi="Times New Roman"/>
                <w:sz w:val="20"/>
                <w:szCs w:val="20"/>
              </w:rPr>
              <w:t>ьоту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юних туристів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-краєзнавців;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обласн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Всеукраїнського конкурсу екскурсоводів музеїв закладів освіти, у відповідності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із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ціннісни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орієнтир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та індикатор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ефективності Стратегії національно-патріотичного виховання</w:t>
            </w:r>
          </w:p>
          <w:p w:rsidR="00BC120F" w:rsidRPr="007650D2" w:rsidRDefault="00BC120F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комунальний заклад «Рівненська обласна станція юних туристів» Рівненської обласної 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5557F7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1A9">
              <w:rPr>
                <w:rFonts w:ascii="Times New Roman" w:hAnsi="Times New Roman"/>
                <w:sz w:val="20"/>
                <w:szCs w:val="20"/>
              </w:rPr>
              <w:t>1</w:t>
            </w:r>
            <w:r w:rsidR="000066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AD11A9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57F7" w:rsidRPr="00AD11A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557F7" w:rsidRPr="00AD11A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114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114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29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Відзначення Дня пам’яті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вшанування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вояків УПА, полеглих у квітні </w:t>
            </w:r>
            <w:r w:rsidR="003A7F5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             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1944 року в бою під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Гурбами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 комунальний заклад «Рівненський обласний краєзнавчий музей» Рівненської обласної ради,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громад,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Рівненська обласна організація Національної спілки письменників України,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інститути громадянського суспільства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129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406F7F" w:rsidRPr="007650D2" w:rsidTr="00283732">
        <w:trPr>
          <w:cantSplit/>
          <w:trHeight w:val="129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08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Сприяння утвердженню традиційних сімейних цінностей та активне залучення сім’ї до процесу національно-патріотичного виховання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11321A" w:rsidP="00BC120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0066EC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453D14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453D14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453D14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453D14" w:rsidP="00453D1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453D14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453D14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608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08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2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Придбання сучасної літератури національно-патріотичного спрямування для забезпечення навчальних закладів, бібліотек тощо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BC120F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 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870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70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70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70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70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70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76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06F7F" w:rsidRPr="007650D2" w:rsidTr="00283732">
        <w:trPr>
          <w:cantSplit/>
          <w:trHeight w:val="76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2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Розробка концепції, макетування, виготовлення та забезпечення закладів освіти та осередків національно-патріотичного виховання області тематичними матеріалами для оформлення приміщень відповідно до цінностей, ціннісних орієнтирів та індикаторів ефективності Стратегії національно-патріотичного виховання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A66C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11321A" w:rsidP="00296725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управління культури і туризму облдержадміністрації, райдержадміністрації, виконавчі комітети сільських, селищних, міських рад територіальних громад,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06F7F" w:rsidRPr="007650D2" w:rsidTr="00283732">
        <w:trPr>
          <w:cantSplit/>
          <w:trHeight w:val="762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604D2D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A66C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534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604D2D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A66C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534"/>
          <w:jc w:val="center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725" w:rsidRPr="007650D2" w:rsidRDefault="00296725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725" w:rsidRDefault="00296725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Проведення конкурсу козацької творчості «За Україну, за її волю!»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5A66C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11321A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296725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296725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управління культури і туризму облдержадміністрації, райдержадміністрації, виконавчі комітети сільських, селищних, міських рад територіальних громад,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Pr="007650D2" w:rsidRDefault="00296725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1534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725" w:rsidRPr="007650D2" w:rsidRDefault="00296725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725" w:rsidRDefault="00296725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5A66C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Pr="007650D2" w:rsidRDefault="00296725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6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725" w:rsidRPr="007650D2" w:rsidRDefault="00296725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5" w:rsidRDefault="00296725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5A66C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604D2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Pr="007650D2" w:rsidRDefault="00296725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725" w:rsidRDefault="00296725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ind w:left="28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53D1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453D14" w:rsidRDefault="00296725" w:rsidP="00453D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  <w:r w:rsidR="00604D2D" w:rsidRPr="00453D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453D14" w:rsidRDefault="00296725" w:rsidP="00453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604D2D" w:rsidRPr="00453D1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453D14" w:rsidRDefault="00296725" w:rsidP="00453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604D2D" w:rsidRPr="00453D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453D14" w:rsidRDefault="00296725" w:rsidP="002967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="00604D2D" w:rsidRPr="00453D1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453D14" w:rsidRDefault="00296725" w:rsidP="00453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604D2D" w:rsidRPr="00453D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453D14" w:rsidRDefault="00296725" w:rsidP="00453D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604D2D" w:rsidRPr="00453D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C74D6" w:rsidRDefault="00604D2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4718,0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C74D6" w:rsidRDefault="00604D2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882,0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C74D6" w:rsidRDefault="00604D2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C74D6" w:rsidRDefault="00604D2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942,0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C74D6" w:rsidRDefault="00604D2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C74D6" w:rsidRDefault="00604D2D" w:rsidP="00BC120F">
            <w:pPr>
              <w:ind w:left="-71"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1020,0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4D2D" w:rsidRPr="007650D2" w:rsidTr="00406F7F">
        <w:trPr>
          <w:cantSplit/>
          <w:jc w:val="center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Пріоритет 2. Військово-патріотичне виховання - здійснення заходів, спрямованих на формування у громадян готовності до захисту України, громадського сприяння безпеці та обороні України та підвищення престижу військової і спеціальної державної служби, вшанування пам’яті захисників України</w:t>
            </w:r>
          </w:p>
        </w:tc>
      </w:tr>
      <w:tr w:rsidR="00406F7F" w:rsidRPr="007650D2" w:rsidTr="00283732">
        <w:trPr>
          <w:cantSplit/>
          <w:trHeight w:val="61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C55B4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Введення до переліку курсів підвищення кваліфікації вчителів предмета «Захист України»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Департамент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науки облдержадміністрації, Рівненський обласний інститут післядипломної педагогічної освіти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1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1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37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теренових ігор, змагань, регіональних фестивалів козацької традиційної культури («Покровський вітер», «Курган Леля»), </w:t>
            </w:r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 xml:space="preserve">мандрівного табору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Стежками князів Острозьких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, юнацького табору «</w:t>
            </w:r>
            <w:proofErr w:type="spellStart"/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Дюксин-Сухівці</w:t>
            </w:r>
            <w:proofErr w:type="spellEnd"/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», занять з тактичної медицини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спрямованих на збільшення чисельності молоді, готової до виконання обов’язку із захисту незалежності та територіальної цілісності України</w:t>
            </w:r>
          </w:p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облдержадміністрації, комунальний заклад «Рівненський обласний молодіжний пластовий </w:t>
            </w:r>
            <w:proofErr w:type="spellStart"/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вишкільний</w:t>
            </w:r>
            <w:proofErr w:type="spellEnd"/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центр» Рівненської обласної ради,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87054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</w:tr>
      <w:tr w:rsidR="00406F7F" w:rsidRPr="007650D2" w:rsidTr="00283732">
        <w:trPr>
          <w:cantSplit/>
          <w:trHeight w:val="137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06F7F" w:rsidRPr="007650D2" w:rsidTr="00283732">
        <w:trPr>
          <w:cantSplit/>
          <w:trHeight w:val="137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та проведення обласного етапу Всеукраїнської дитячо-юнацької військово-патріотичної гри «Сокіл» («Джура»)</w:t>
            </w:r>
          </w:p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(середня і старша групи)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і науки облдержадміністрації, комунальний заклад «Рівненська обласна станція юних туристів» Рівненської обласної ради,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райдержадміністрації,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="00604D2D"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сільських, селищних, міських рад територіальних громад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4523DB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0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</w:t>
            </w:r>
            <w:r w:rsidR="003A7F52">
              <w:rPr>
                <w:rFonts w:ascii="Times New Roman" w:hAnsi="Times New Roman"/>
                <w:sz w:val="20"/>
                <w:szCs w:val="20"/>
              </w:rPr>
              <w:t xml:space="preserve">абезпечення участі у заключному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всеукраїнському етапі Всеукраїнської дитячо-юнацької військово-патріотичної гри «Сокіл» («Джура»)</w:t>
            </w:r>
          </w:p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(середня і старша групи)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і науки </w:t>
            </w:r>
          </w:p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облдержадміністрації,  комунальний заклад «Рівненська обласна станція юних туристів» Рівненської обласної ради,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відділення цивільно-військового співробітництва оперативного командування «ЗАХІД»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Рівненський обласний територіальний центр комплектування та соціальної підтримки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сільських, селищних, міських рад територіальних громад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06F7F" w:rsidRPr="007650D2" w:rsidTr="00283732">
        <w:trPr>
          <w:cantSplit/>
          <w:trHeight w:val="106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106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60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обласних навчально-тренувальних наметових зборів, наметових таборів, походів, експедицій, екскурсій, зокрема навчально-тренувального збору з підготовки до заключного етапу Всеукраїнської дитячо-юнацької військово-патріотичної гри «Сокіл» («Джура»)</w:t>
            </w:r>
          </w:p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(середня і старша групи)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</w:t>
            </w:r>
          </w:p>
          <w:p w:rsidR="00604D2D" w:rsidRPr="007650D2" w:rsidRDefault="00604D2D" w:rsidP="0029672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 комунальний заклад «Рівненська обласна станція юних туристів» Рівненської обласної ради,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відділення цивільно-військового співробітництва оперативного командування «ЗАХІД»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Рівненський обласний територіальний центр комплектування та соціальної підтримки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сільських, селищних, міських рад територіальних громад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406F7F" w:rsidRPr="007650D2" w:rsidTr="00283732">
        <w:trPr>
          <w:cantSplit/>
          <w:trHeight w:val="160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60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45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тренінгів «Школа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виховників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джур»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11321A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комунальний заклад «Рівненський обласний молодіжний пластовий </w:t>
            </w:r>
            <w:proofErr w:type="spellStart"/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вишкільний</w:t>
            </w:r>
            <w:proofErr w:type="spellEnd"/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центр» Рівненської обласної ради,</w:t>
            </w:r>
          </w:p>
          <w:p w:rsidR="00604D2D" w:rsidRPr="007650D2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сільських, селищних, міських рад територіальних громад,  інститути громадянського 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FA6463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63">
              <w:rPr>
                <w:rFonts w:ascii="Times New Roman" w:hAnsi="Times New Roman"/>
                <w:sz w:val="20"/>
                <w:szCs w:val="20"/>
              </w:rPr>
              <w:t>25</w:t>
            </w:r>
            <w:r w:rsidR="00296725">
              <w:rPr>
                <w:rFonts w:ascii="Times New Roman" w:hAnsi="Times New Roman"/>
                <w:sz w:val="20"/>
                <w:szCs w:val="20"/>
              </w:rPr>
              <w:t>0</w:t>
            </w:r>
            <w:r w:rsidRPr="00FA6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FA6463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63">
              <w:rPr>
                <w:rFonts w:ascii="Times New Roman" w:hAnsi="Times New Roman"/>
                <w:sz w:val="20"/>
                <w:szCs w:val="20"/>
              </w:rPr>
              <w:t>50</w:t>
            </w:r>
            <w:r w:rsidR="00296725">
              <w:rPr>
                <w:rFonts w:ascii="Times New Roman" w:hAnsi="Times New Roman"/>
                <w:sz w:val="20"/>
                <w:szCs w:val="20"/>
              </w:rPr>
              <w:t>0</w:t>
            </w:r>
            <w:r w:rsidRPr="00FA646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FA6463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63">
              <w:rPr>
                <w:rFonts w:ascii="Times New Roman" w:hAnsi="Times New Roman"/>
                <w:sz w:val="20"/>
                <w:szCs w:val="20"/>
              </w:rPr>
              <w:t>5</w:t>
            </w:r>
            <w:r w:rsidR="00296725">
              <w:rPr>
                <w:rFonts w:ascii="Times New Roman" w:hAnsi="Times New Roman"/>
                <w:sz w:val="20"/>
                <w:szCs w:val="20"/>
              </w:rPr>
              <w:t>0</w:t>
            </w:r>
            <w:r w:rsidRPr="00FA6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FA6463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63">
              <w:rPr>
                <w:rFonts w:ascii="Times New Roman" w:hAnsi="Times New Roman"/>
                <w:sz w:val="20"/>
                <w:szCs w:val="20"/>
              </w:rPr>
              <w:t>5</w:t>
            </w:r>
            <w:r w:rsidR="00296725">
              <w:rPr>
                <w:rFonts w:ascii="Times New Roman" w:hAnsi="Times New Roman"/>
                <w:sz w:val="20"/>
                <w:szCs w:val="20"/>
              </w:rPr>
              <w:t>0</w:t>
            </w:r>
            <w:r w:rsidRPr="00FA6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FA6463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63">
              <w:rPr>
                <w:rFonts w:ascii="Times New Roman" w:hAnsi="Times New Roman"/>
                <w:sz w:val="20"/>
                <w:szCs w:val="20"/>
              </w:rPr>
              <w:t>5</w:t>
            </w:r>
            <w:r w:rsidR="00296725">
              <w:rPr>
                <w:rFonts w:ascii="Times New Roman" w:hAnsi="Times New Roman"/>
                <w:sz w:val="20"/>
                <w:szCs w:val="20"/>
              </w:rPr>
              <w:t>0</w:t>
            </w:r>
            <w:r w:rsidRPr="00FA6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FA6463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63">
              <w:rPr>
                <w:rFonts w:ascii="Times New Roman" w:hAnsi="Times New Roman"/>
                <w:sz w:val="20"/>
                <w:szCs w:val="20"/>
              </w:rPr>
              <w:t>5</w:t>
            </w:r>
            <w:r w:rsidR="00296725">
              <w:rPr>
                <w:rFonts w:ascii="Times New Roman" w:hAnsi="Times New Roman"/>
                <w:sz w:val="20"/>
                <w:szCs w:val="20"/>
              </w:rPr>
              <w:t>0</w:t>
            </w:r>
            <w:r w:rsidRPr="00FA6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145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145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1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міжрайонних етапів «Джура-Прикордонник» для відбору команд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які братимуть участь у Всеукраїнському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вишколі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11321A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</w:t>
            </w:r>
            <w:r w:rsidRPr="002A27EB">
              <w:rPr>
                <w:rFonts w:ascii="Times New Roman" w:hAnsi="Times New Roman"/>
                <w:sz w:val="20"/>
                <w:szCs w:val="20"/>
              </w:rPr>
              <w:t>райдержадміністрації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CE2AAC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="00604D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CE2AAC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604D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CE2AAC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604D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604D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CE2AAC" w:rsidP="00CE2AA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604D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CE2AAC" w:rsidP="00CE2AA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604D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91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06F7F" w:rsidRPr="007650D2" w:rsidTr="00283732">
        <w:trPr>
          <w:cantSplit/>
          <w:trHeight w:val="91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участі команд від прикордонних районів Рівненщини у Всеукраїнськи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вишколах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(інших заходах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ктах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) «Джура-Прикордонник»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11321A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</w:t>
            </w:r>
            <w:r w:rsidRPr="002A27EB">
              <w:rPr>
                <w:rFonts w:ascii="Times New Roman" w:hAnsi="Times New Roman"/>
                <w:sz w:val="20"/>
                <w:szCs w:val="20"/>
              </w:rPr>
              <w:t>райдержадміністрації, виконавчі комітети сільських, селищних, міських рад територіальних громад, інститути громадянського суспільс</w:t>
            </w:r>
            <w:r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Р</w:t>
            </w:r>
            <w:r>
              <w:rPr>
                <w:rFonts w:ascii="Times New Roman" w:hAnsi="Times New Roman"/>
                <w:sz w:val="20"/>
                <w:szCs w:val="20"/>
              </w:rPr>
              <w:t>івненського обласного етапу 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«Нащадки Вільних» для відбору команди на Всеукраїнський і Міжнародний етап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«Нащадки Вільних»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громад, інститути громадянського суспільства</w:t>
            </w:r>
          </w:p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9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5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участі команди від Рівненщини у Всеукраїнському і Міжнародному етап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«Нащадки Вільних»</w:t>
            </w:r>
          </w:p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облдержадміністрації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5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5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37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3A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</w:t>
            </w:r>
            <w:r>
              <w:rPr>
                <w:rFonts w:ascii="Times New Roman" w:hAnsi="Times New Roman"/>
                <w:sz w:val="20"/>
                <w:szCs w:val="20"/>
              </w:rPr>
              <w:t>обласного етапу 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«Джура-Десантник» для відбору команди на Всеукраїнський етап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Рівненської</w:t>
            </w:r>
          </w:p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громад, інститути громадянського суспільства,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відділення цивільно-військового співробітництва оперативного командування «ЗАХІД»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137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37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участі команди від Рівненщ</w:t>
            </w:r>
            <w:r>
              <w:rPr>
                <w:rFonts w:ascii="Times New Roman" w:hAnsi="Times New Roman"/>
                <w:sz w:val="20"/>
                <w:szCs w:val="20"/>
              </w:rPr>
              <w:t>ини у Всеукраїнському етапі 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«Джура-Десантник»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D2D" w:rsidRDefault="00604D2D" w:rsidP="00E346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облдержадміністрації, інститути громадянського суспільства</w:t>
            </w:r>
          </w:p>
          <w:p w:rsidR="00604D2D" w:rsidRDefault="00604D2D" w:rsidP="00E346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E346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проведення «Дня відкритих дверей» у військових частинах,  проведення показів військової техніки, озброєння та стрілецької зброї на території місця дислокації військових частин</w:t>
            </w:r>
          </w:p>
          <w:p w:rsidR="00604D2D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Відділення цивільно-військового співробітництва оперативного командування «ЗАХІД»,</w:t>
            </w:r>
            <w:r w:rsidRPr="003262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командири військових частин Рівненського гарнізону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заходів (семінарів, тренінгів,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вишколів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, фестивалів тощо)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спрямова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них на популяризацію виховних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методи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національних бойових мистецтв</w:t>
            </w:r>
          </w:p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</w:t>
            </w:r>
          </w:p>
          <w:p w:rsidR="00604D2D" w:rsidRDefault="00604D2D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Рівненська обласна федерація козацького бойового мистецтва «Спас», Рівненська обласна федерація бойового гопака</w:t>
            </w:r>
          </w:p>
          <w:p w:rsidR="00604D2D" w:rsidRDefault="00604D2D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04D2D" w:rsidRDefault="00604D2D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04D2D" w:rsidRPr="007650D2" w:rsidRDefault="00604D2D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Створення та наповнення музеїв, кімнат з історії у за</w:t>
            </w:r>
            <w:r w:rsidR="002D3A18">
              <w:rPr>
                <w:rFonts w:ascii="Times New Roman" w:hAnsi="Times New Roman"/>
                <w:sz w:val="20"/>
                <w:szCs w:val="20"/>
              </w:rPr>
              <w:t>кладах освіти, створення онлайн-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музеїв, добудова музею-криївки УПА в урочищі Гурби Рівненського району, будівництво музею-криївки УПА в межах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Сарненського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району, меморіалу повстанської зви</w:t>
            </w:r>
            <w:r w:rsidR="002D3A18">
              <w:rPr>
                <w:rFonts w:ascii="Times New Roman" w:hAnsi="Times New Roman"/>
                <w:sz w:val="20"/>
                <w:szCs w:val="20"/>
              </w:rPr>
              <w:t>тяги «Микитові Рови», історичного музейного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комплекс</w:t>
            </w:r>
            <w:r w:rsidR="002D3A18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«Хотин Княжий»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AC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CE2AAC" w:rsidRPr="007650D2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CE2AA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AAC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Райдержадміністрації, виконавчі комітети сільських, </w:t>
            </w:r>
            <w:r w:rsidR="00A14C10">
              <w:rPr>
                <w:rFonts w:ascii="Times New Roman" w:hAnsi="Times New Roman"/>
                <w:sz w:val="20"/>
                <w:szCs w:val="20"/>
              </w:rPr>
              <w:t>селищних, міських рад територіальних громад</w:t>
            </w:r>
          </w:p>
          <w:p w:rsidR="00E84595" w:rsidRPr="007650D2" w:rsidRDefault="00E84595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C" w:rsidRPr="007650D2" w:rsidRDefault="00CE2AAC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Pr="007650D2" w:rsidRDefault="00CE2AAC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C" w:rsidRDefault="00A14C10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5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ind w:left="28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D2D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FA6463" w:rsidRDefault="00A14C10" w:rsidP="00A14C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FA6463" w:rsidRDefault="00A14C10" w:rsidP="00A14C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FA6463" w:rsidRDefault="00A14C10" w:rsidP="00FA64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FA6463" w:rsidRDefault="00A14C10" w:rsidP="00A14C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FA6463" w:rsidRDefault="00A14C10" w:rsidP="00FA64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FA6463" w:rsidRDefault="00A14C10" w:rsidP="00A14C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5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D93574" w:rsidRDefault="00604D2D" w:rsidP="00A14C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14C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D93574" w:rsidRDefault="00A14C10" w:rsidP="00763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4D2D"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D93574" w:rsidRDefault="00604D2D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D93574" w:rsidRDefault="00604D2D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D93574" w:rsidRDefault="00604D2D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D2D" w:rsidRPr="00D93574" w:rsidRDefault="00604D2D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406F7F" w:rsidRPr="007650D2" w:rsidTr="00283732">
        <w:trPr>
          <w:cantSplit/>
          <w:trHeight w:val="5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4D2D" w:rsidRPr="007650D2" w:rsidTr="00406F7F">
        <w:trPr>
          <w:cantSplit/>
          <w:jc w:val="center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Пріоритет 3. Формування науково-методологічних і методичних засад національно-патріотичного виховання - здійснення заходів, спрямованих на розвиток цілісної загальнодержавної політики національно-патріотичного виховання</w:t>
            </w:r>
          </w:p>
        </w:tc>
      </w:tr>
      <w:tr w:rsidR="00406F7F" w:rsidRPr="007650D2" w:rsidTr="00283732">
        <w:trPr>
          <w:cantSplit/>
          <w:trHeight w:val="157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мережі та забезпечення діяльності (проведення заходів) центрів національно-патріотичного виховання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11321A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комунальний заклад «Рівненський обласний молодіжний пластовий </w:t>
            </w:r>
            <w:proofErr w:type="spellStart"/>
            <w:r w:rsidR="00604D2D" w:rsidRPr="007650D2">
              <w:rPr>
                <w:rFonts w:ascii="Times New Roman" w:hAnsi="Times New Roman"/>
                <w:sz w:val="20"/>
                <w:szCs w:val="20"/>
              </w:rPr>
              <w:t>вишкільний</w:t>
            </w:r>
            <w:proofErr w:type="spellEnd"/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центр» Рівненської обласної ради, дошкільний навчальний заклад «Здолбунівське </w:t>
            </w:r>
            <w:r w:rsidR="00604D2D">
              <w:rPr>
                <w:rFonts w:ascii="Times New Roman" w:hAnsi="Times New Roman"/>
                <w:sz w:val="20"/>
                <w:szCs w:val="20"/>
              </w:rPr>
              <w:t>вище професійно-технічне училище залізничного транспорту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>комунальний заклад «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Острозький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обласний 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ліцей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з посиленою військово-фізичною підготовкою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ім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ені 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К</w:t>
            </w:r>
            <w:r w:rsidR="00604D2D">
              <w:rPr>
                <w:rFonts w:ascii="Times New Roman" w:hAnsi="Times New Roman"/>
                <w:sz w:val="20"/>
                <w:szCs w:val="20"/>
              </w:rPr>
              <w:t>остянтина Івановича Острозького» Рівненської обласної ради, райдер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жадміністрації,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сільських, селищних, міських рад територіальних громад</w:t>
            </w:r>
          </w:p>
          <w:p w:rsidR="00604D2D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57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92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0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Створення на базі Рівненського обласного інституту післядипломної педагогічної освіти Інформаційно-виставкового комплексу освітян-героїв </w:t>
            </w:r>
          </w:p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AF2B5D" w:rsidRDefault="0011321A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освіти</w:t>
            </w:r>
            <w:r w:rsidR="00604D2D" w:rsidRPr="00AF2B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науки облдержадміністрації,</w:t>
            </w:r>
          </w:p>
          <w:p w:rsidR="00604D2D" w:rsidRPr="003A0708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B5D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Рівненський обласний інститут післядипломної педагогічної освіти</w:t>
            </w:r>
          </w:p>
          <w:p w:rsidR="00604D2D" w:rsidRPr="003A0708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0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0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14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заходів (тренінгів,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семінарів-тренінгів, семінарів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тощо)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спрямованих на підвищення кваліфікації фахівців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які працюють в напрям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національно-патріотичного виховання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Рівненський обласний інститут післядипломної педагогічної освіти, інститути громадянського суспільства, Рівненська обласна організація Національної спілки письменників України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14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14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337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курсів підвищення кваліфікації педагогічних працівників за програмою «Теорія та методика етнокультурної освіти»</w:t>
            </w:r>
          </w:p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022B8A" w:rsidRDefault="0011321A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освіти</w:t>
            </w:r>
            <w:r w:rsidR="00604D2D"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науки облдержадміністрації,</w:t>
            </w:r>
          </w:p>
          <w:p w:rsidR="00604D2D" w:rsidRPr="002C642A" w:rsidRDefault="00604D2D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458E3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406F7F" w:rsidRPr="007650D2" w:rsidTr="00283732">
        <w:trPr>
          <w:cantSplit/>
          <w:trHeight w:val="541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218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37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вчення української писемності Рівненщин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на базі Рівненського обласного інституту післядипломної педагогічної освіти тренінгового центру (з використанням бібліотечного фонду Рівненської обласної організації Національної спілки письменників України) для підвищення кваліфікації вчителів української мови та літератури</w:t>
            </w:r>
          </w:p>
          <w:p w:rsidR="00604D2D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022B8A" w:rsidRDefault="0011321A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освіти</w:t>
            </w:r>
            <w:r w:rsidR="00604D2D"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 науки облдержадміністрації,</w:t>
            </w:r>
          </w:p>
          <w:p w:rsidR="00604D2D" w:rsidRPr="002C642A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Рівненський обласний інститут післядипломної педагогічної освіти, Рівненська обласна організація Національної спілки письменників України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37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37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1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Підготовка і видання методичного забезпечення для підвищення якості організації роботи з патріотичного виховання: посібників, рекомендацій, матеріалів, візуальних матеріалів, сценаріїв виховних заходів тощо</w:t>
            </w:r>
          </w:p>
          <w:p w:rsidR="00604D2D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облдержадміністрації, комунальний заклад «Рівненський обласний молодіжний пластовий </w:t>
            </w:r>
            <w:proofErr w:type="spellStart"/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вишкільний</w:t>
            </w:r>
            <w:proofErr w:type="spellEnd"/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центр» Рівненської обласної ради</w:t>
            </w:r>
          </w:p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91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1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95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BC120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та забезпечення діяльності відділу національно-патріотичного виховання дітей та молоді на базі комунального закладу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«Рівненська обласна станція юних туристів» Рівненської обласної ради</w:t>
            </w:r>
          </w:p>
          <w:p w:rsidR="00604D2D" w:rsidRPr="007650D2" w:rsidRDefault="00604D2D" w:rsidP="00BC120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 рік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комунальний заклад «Рівненська обласна станція юних туристів» Рівненської обласної 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Забезпечення відкриття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туристсько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-краєзнавчої бази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омунального закладу «Рівненська обласна станція юних туристів» Рівненської обласної ради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2023 рік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11321A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управління культури </w:t>
            </w:r>
            <w:r w:rsidR="00604D2D">
              <w:rPr>
                <w:rFonts w:ascii="Times New Roman" w:hAnsi="Times New Roman"/>
                <w:sz w:val="20"/>
                <w:szCs w:val="20"/>
              </w:rPr>
              <w:t>і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>к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омунальний  заклад «Рівненська обласна станція юних туристів» Рівненської обласної ради</w:t>
            </w: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Відкриття клубів, гуртків, інших творчих об’єднань військово-патріотичного напряму на базі закладів освіти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11321A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райдержадміністрації,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68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Популяризація та широке висвітлення на конференціях, круглих столах, семінарах фактів та подій, що свідчать про боротьбу за незалежність України у ХХ столітті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11321A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Рівненське</w:t>
            </w:r>
            <w:r w:rsidR="00604D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обласне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об’єднання </w:t>
            </w:r>
            <w:r w:rsidR="00604D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Всеукраїнського товариства 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«Просвіта»</w:t>
            </w:r>
            <w:r w:rsidR="00604D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імені Тараса Шевченка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Рівненський обласний інститут післядипломної педагогічної освіти, райдержадміністрації,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="00604D2D"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сільських, селищних, міських рад територіальних громад</w:t>
            </w:r>
          </w:p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3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нарад працівників, відповідальних за національно-патріотичне виховання в органах управління освітою регіонального та місцевих рівнів</w:t>
            </w:r>
          </w:p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11321A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райдержадміністрації,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F7327">
            <w:pPr>
              <w:pStyle w:val="a4"/>
              <w:widowControl w:val="0"/>
              <w:shd w:val="clear" w:color="auto" w:fill="FFFFFF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70520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70520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F732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604D2D" w:rsidP="000F73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604D2D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604D2D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604D2D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604D2D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D2D" w:rsidRPr="000F7327" w:rsidRDefault="00604D2D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EC316A" w:rsidRDefault="00604D2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3970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EC316A" w:rsidRDefault="00604D2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EC316A" w:rsidRDefault="00604D2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EC316A" w:rsidRDefault="00604D2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EC316A" w:rsidRDefault="00604D2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D2D" w:rsidRPr="00EC316A" w:rsidRDefault="00604D2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4D2D" w:rsidRPr="007650D2" w:rsidTr="00406F7F">
        <w:trPr>
          <w:cantSplit/>
          <w:jc w:val="center"/>
        </w:trPr>
        <w:tc>
          <w:tcPr>
            <w:tcW w:w="15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Пріоритет 4. Підтримка та співпраця органів державної влади та органів місцевого самоврядування з інститутами громадянського суспільства щодо національно-патріотичного виховання</w:t>
            </w:r>
          </w:p>
        </w:tc>
      </w:tr>
      <w:tr w:rsidR="00406F7F" w:rsidRPr="007650D2" w:rsidTr="00283732">
        <w:trPr>
          <w:cantSplit/>
          <w:trHeight w:val="90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та проведення семінарів, круглих столів, спрямованих на налагодження співпраці між органами державної влади, органами місцевого самоврядування, громадськими об’єднаннями щодо національно-патріотичного виховання молоді</w:t>
            </w:r>
          </w:p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комунальний заклад «Рівненський обласний молодіжний пластовий </w:t>
            </w:r>
            <w:proofErr w:type="spellStart"/>
            <w:r w:rsidR="00604D2D" w:rsidRPr="007650D2">
              <w:rPr>
                <w:rFonts w:ascii="Times New Roman" w:hAnsi="Times New Roman"/>
                <w:sz w:val="20"/>
                <w:szCs w:val="20"/>
              </w:rPr>
              <w:t>вишкільний</w:t>
            </w:r>
            <w:proofErr w:type="spellEnd"/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центр» Рівненської обласної ради</w:t>
            </w:r>
          </w:p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106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7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0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Надання фінансової підтримки реалізації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ктів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 (програм, заходів) національно-патріотичного спрямування, розроблених інститутами громадянського суспільства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на конкурсній основі</w:t>
            </w:r>
          </w:p>
          <w:p w:rsidR="00604D2D" w:rsidRPr="007650D2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237C2D" w:rsidRDefault="00A14FEB" w:rsidP="00A14FEB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="00604D2D" w:rsidRPr="00237C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237C2D" w:rsidRDefault="00A14FEB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04D2D" w:rsidRPr="00237C2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237C2D" w:rsidRDefault="00A14FEB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04D2D" w:rsidRPr="00237C2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237C2D" w:rsidRDefault="00A14FEB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04D2D" w:rsidRPr="00237C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237C2D" w:rsidRDefault="00A14FEB" w:rsidP="00A14FEB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04D2D" w:rsidRPr="00237C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237C2D" w:rsidRDefault="00A14FEB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04D2D" w:rsidRPr="00237C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06F7F" w:rsidRPr="007650D2" w:rsidTr="00283732">
        <w:trPr>
          <w:cantSplit/>
          <w:trHeight w:val="607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51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A14FEB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A14FEB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04D2D">
              <w:rPr>
                <w:rFonts w:ascii="Times New Roman" w:hAnsi="Times New Roman"/>
                <w:sz w:val="20"/>
                <w:szCs w:val="20"/>
              </w:rPr>
              <w:t>5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A14FEB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04D2D">
              <w:rPr>
                <w:rFonts w:ascii="Times New Roman" w:hAnsi="Times New Roman"/>
                <w:sz w:val="20"/>
                <w:szCs w:val="20"/>
              </w:rPr>
              <w:t>5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A14FEB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A14FEB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A14FEB" w:rsidP="00A14FEB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406F7F" w:rsidRPr="0042151C" w:rsidTr="00283732">
        <w:trPr>
          <w:cantSplit/>
          <w:trHeight w:val="46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Вручення премій для громадян України, які зробили вагомий внесок в розвиток національно-патріотичного виховання у Рівненській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11321A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604D2D" w:rsidRPr="0042151C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</w:t>
            </w:r>
            <w:r w:rsidR="00604D2D">
              <w:rPr>
                <w:rFonts w:ascii="Times New Roman" w:hAnsi="Times New Roman"/>
                <w:sz w:val="20"/>
                <w:szCs w:val="20"/>
              </w:rPr>
              <w:t>,</w:t>
            </w:r>
            <w:r w:rsidR="00604D2D" w:rsidRPr="00421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</w:t>
            </w:r>
          </w:p>
          <w:p w:rsidR="00604D2D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42151C" w:rsidRDefault="00604D2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4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Забезпечення участі представників Рівненщини у всеукраїнських і міжнародних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ктах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і заходах національно-патріотичного виховання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Default="0011321A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райдержадміністрації,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604D2D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04D2D" w:rsidRPr="007650D2" w:rsidRDefault="00604D2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06F7F" w:rsidRPr="007650D2" w:rsidTr="00283732">
        <w:trPr>
          <w:cantSplit/>
          <w:trHeight w:val="6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68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853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Забезпечення інформування населення Рівненщини про діяльність українських громадських об’єднань,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заборонялись і переслідувались окупаційними та радянським режимами, в тому числі українського пластового руху (Пласт), Спілки української молоді</w:t>
            </w:r>
          </w:p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2021-2025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11321A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604D2D" w:rsidRPr="007650D2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 w:rsidR="003A7F52" w:rsidRPr="003A7F52">
              <w:rPr>
                <w:rFonts w:ascii="Times New Roman" w:hAnsi="Times New Roman"/>
                <w:sz w:val="20"/>
                <w:szCs w:val="20"/>
              </w:rPr>
              <w:t>департамент цифрової трансформації та суспільних комунікацій</w:t>
            </w:r>
            <w:r w:rsidR="003A7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D2D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406F7F" w:rsidRPr="007650D2" w:rsidTr="00283732">
        <w:trPr>
          <w:cantSplit/>
          <w:trHeight w:val="99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78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78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Виготовлення аудіовізуальної продукції, інформаційно-рекламних і методичних матеріалів національно-патріотичного спрямування, розміщення інформаційних повідомлень з питань національно-патріотичного виховання в мережі «Інтернет» тощо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0869A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2021-2025 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0869A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0869A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0869A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0869A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0869A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9A3" w:rsidRPr="007650D2" w:rsidRDefault="0011321A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у справах молоді та спорту</w:t>
            </w:r>
            <w:r w:rsidR="000869A3">
              <w:rPr>
                <w:rFonts w:ascii="Times New Roman" w:hAnsi="Times New Roman"/>
                <w:sz w:val="20"/>
                <w:szCs w:val="20"/>
              </w:rPr>
              <w:t xml:space="preserve">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 освіти</w:t>
            </w:r>
            <w:r w:rsidR="000869A3">
              <w:rPr>
                <w:rFonts w:ascii="Times New Roman" w:hAnsi="Times New Roman"/>
                <w:sz w:val="20"/>
                <w:szCs w:val="20"/>
              </w:rPr>
              <w:t xml:space="preserve"> і науки облдержадміністрації,  </w:t>
            </w:r>
            <w:r w:rsidR="003A7F52" w:rsidRPr="003A7F52">
              <w:rPr>
                <w:rFonts w:ascii="Times New Roman" w:hAnsi="Times New Roman"/>
                <w:sz w:val="20"/>
                <w:szCs w:val="20"/>
              </w:rPr>
              <w:t>департамент цифрової трансформації та суспільних комунікацій</w:t>
            </w:r>
            <w:r w:rsidR="003A7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9A3">
              <w:rPr>
                <w:rFonts w:ascii="Times New Roman" w:hAnsi="Times New Roman"/>
                <w:sz w:val="20"/>
                <w:szCs w:val="20"/>
              </w:rPr>
              <w:t>облдержадміністрації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406F7F" w:rsidRPr="007650D2" w:rsidTr="00283732">
        <w:trPr>
          <w:cantSplit/>
          <w:trHeight w:val="978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978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3" w:rsidRPr="007650D2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Pr="007650D2" w:rsidRDefault="000869A3" w:rsidP="005A66C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A3" w:rsidRDefault="000869A3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318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pStyle w:val="a4"/>
              <w:widowControl w:val="0"/>
              <w:shd w:val="clear" w:color="auto" w:fill="FFFFFF"/>
              <w:ind w:left="28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F37A84" w:rsidRDefault="00604D2D" w:rsidP="000F7327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4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0F732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ED6F4D" w:rsidP="000F73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  <w:r w:rsidR="00604D2D"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ED6F4D" w:rsidP="00ED6F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604D2D"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ED6F4D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604D2D"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ED6F4D" w:rsidP="00ED6F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604D2D"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ED6F4D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604D2D"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0F7327" w:rsidRDefault="00ED6F4D" w:rsidP="00ED6F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604D2D"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406F7F" w:rsidRPr="007650D2" w:rsidTr="00283732">
        <w:trPr>
          <w:cantSplit/>
          <w:trHeight w:val="30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46E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6F7F" w:rsidRPr="007650D2" w:rsidTr="00283732">
        <w:trPr>
          <w:cantSplit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D" w:rsidRPr="007650D2" w:rsidRDefault="00604D2D" w:rsidP="00EC316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C316A" w:rsidRDefault="00ED6F4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C316A" w:rsidRDefault="00ED6F4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04D2D"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C316A" w:rsidRDefault="00ED6F4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04D2D"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C316A" w:rsidRDefault="00ED6F4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C316A" w:rsidRDefault="00ED6F4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C316A" w:rsidRDefault="00ED6F4D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406F7F" w:rsidRPr="004C406F" w:rsidTr="00283732">
        <w:trPr>
          <w:cantSplit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pStyle w:val="a4"/>
              <w:widowControl w:val="0"/>
              <w:shd w:val="clear" w:color="auto" w:fill="FFFFFF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Всього за П</w:t>
            </w: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рограмою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FA646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D429D" w:rsidRDefault="00ED6F4D" w:rsidP="00ED42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12600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D429D" w:rsidRDefault="00ED6F4D" w:rsidP="00ED6F4D">
            <w:pPr>
              <w:ind w:left="-81" w:right="-8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2428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D429D" w:rsidRDefault="00ED6F4D" w:rsidP="00ED6F4D">
            <w:pPr>
              <w:ind w:left="-81" w:right="-8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2670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D429D" w:rsidRDefault="00ED6F4D" w:rsidP="00ED6F4D">
            <w:pPr>
              <w:ind w:left="-81" w:right="-8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2487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D429D" w:rsidRDefault="00ED6F4D" w:rsidP="00ED429D">
            <w:pPr>
              <w:ind w:left="-81" w:right="-8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2500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ED429D" w:rsidRDefault="00ED6F4D" w:rsidP="00ED6F4D">
            <w:pPr>
              <w:ind w:left="-81" w:right="-8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406F7F" w:rsidRPr="004C406F" w:rsidTr="00283732">
        <w:trPr>
          <w:cantSplit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Місцеві бюджети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91218" w:rsidRDefault="00ED6F4D" w:rsidP="008D2800">
            <w:pPr>
              <w:ind w:left="-95" w:right="-2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10083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8D2800" w:rsidRDefault="00ED6F4D" w:rsidP="008D2800">
            <w:pPr>
              <w:ind w:left="-56" w:right="-15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  <w:r w:rsidR="00604D2D"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8D2800" w:rsidRDefault="00604D2D" w:rsidP="008D2800">
            <w:pPr>
              <w:ind w:left="-56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8D2800" w:rsidRDefault="00604D2D" w:rsidP="008D2800">
            <w:pPr>
              <w:ind w:left="-56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8D2800" w:rsidRDefault="00604D2D" w:rsidP="008D2800">
            <w:pPr>
              <w:ind w:left="-56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2D" w:rsidRPr="008D2800" w:rsidRDefault="00604D2D" w:rsidP="008D2800">
            <w:pPr>
              <w:ind w:left="-213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406F7F" w:rsidRPr="004C406F" w:rsidTr="00283732">
        <w:trPr>
          <w:cantSplit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7650D2" w:rsidRDefault="00604D2D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Інші джерела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91218" w:rsidRDefault="00ED6F4D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91218" w:rsidRDefault="00ED6F4D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604D2D"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91218" w:rsidRDefault="00ED6F4D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604D2D"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04D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91218" w:rsidRDefault="00ED6F4D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91218" w:rsidRDefault="00ED6F4D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D" w:rsidRPr="00A91218" w:rsidRDefault="00ED6F4D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</w:tbl>
    <w:tbl>
      <w:tblPr>
        <w:tblpPr w:leftFromText="180" w:rightFromText="180" w:vertAnchor="text" w:horzAnchor="margin" w:tblpXSpec="center" w:tblpYSpec="center"/>
        <w:tblW w:w="15932" w:type="dxa"/>
        <w:tblLook w:val="04A0" w:firstRow="1" w:lastRow="0" w:firstColumn="1" w:lastColumn="0" w:noHBand="0" w:noVBand="1"/>
      </w:tblPr>
      <w:tblGrid>
        <w:gridCol w:w="567"/>
        <w:gridCol w:w="9214"/>
        <w:gridCol w:w="2268"/>
        <w:gridCol w:w="766"/>
        <w:gridCol w:w="766"/>
        <w:gridCol w:w="766"/>
        <w:gridCol w:w="58"/>
        <w:gridCol w:w="708"/>
        <w:gridCol w:w="58"/>
        <w:gridCol w:w="708"/>
        <w:gridCol w:w="53"/>
      </w:tblGrid>
      <w:tr w:rsidR="00BC120F" w:rsidRPr="007D494B" w:rsidTr="00BC120F">
        <w:trPr>
          <w:trHeight w:val="315"/>
        </w:trPr>
        <w:tc>
          <w:tcPr>
            <w:tcW w:w="14405" w:type="dxa"/>
            <w:gridSpan w:val="7"/>
            <w:shd w:val="clear" w:color="auto" w:fill="auto"/>
            <w:noWrap/>
            <w:vAlign w:val="center"/>
            <w:hideMark/>
          </w:tcPr>
          <w:p w:rsidR="00BC120F" w:rsidRPr="007D494B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49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Орієнтовані обсяги фінансування за розпорядниками коштів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BC120F" w:rsidRPr="007D494B" w:rsidRDefault="00BC120F" w:rsidP="009D759A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  <w:hideMark/>
          </w:tcPr>
          <w:p w:rsidR="00BC120F" w:rsidRPr="007D494B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C120F" w:rsidRPr="003A18D2" w:rsidTr="00655B63">
        <w:trPr>
          <w:gridAfter w:val="1"/>
          <w:wAfter w:w="53" w:type="dxa"/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20F" w:rsidRPr="00F37A84" w:rsidTr="00655B63">
        <w:trPr>
          <w:gridAfter w:val="1"/>
          <w:wAfter w:w="53" w:type="dxa"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Розпорядники коштів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Джерело фінансування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Орієнтовні обсяги фінансування, тис. гривень</w:t>
            </w:r>
          </w:p>
        </w:tc>
      </w:tr>
      <w:tr w:rsidR="00BC120F" w:rsidRPr="003A18D2" w:rsidTr="00655B63">
        <w:trPr>
          <w:gridAfter w:val="1"/>
          <w:wAfter w:w="53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ED429D" w:rsidRPr="003A18D2" w:rsidTr="00767DAA">
        <w:trPr>
          <w:gridAfter w:val="1"/>
          <w:wAfter w:w="53" w:type="dxa"/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9D" w:rsidRPr="003A18D2" w:rsidRDefault="00ED429D" w:rsidP="00ED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29D" w:rsidRPr="003A18D2" w:rsidRDefault="0011321A" w:rsidP="00ED4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у справах молоді та спорту</w:t>
            </w:r>
            <w:r w:rsidR="00ED429D"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облдержадміністрації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9D" w:rsidRPr="003A18D2" w:rsidRDefault="00ED429D" w:rsidP="00ED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9D" w:rsidRPr="00ED429D" w:rsidRDefault="00ED6F4D" w:rsidP="00ED42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2055,0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9D" w:rsidRPr="00ED429D" w:rsidRDefault="00ED6F4D" w:rsidP="00ED4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9D" w:rsidRPr="00ED429D" w:rsidRDefault="00ED6F4D" w:rsidP="00ED4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9D" w:rsidRPr="00ED429D" w:rsidRDefault="00ED6F4D" w:rsidP="00ED4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9D" w:rsidRPr="00ED429D" w:rsidRDefault="00ED6F4D" w:rsidP="00ED4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1210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1245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1265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1323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C120F"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C120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C120F"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C120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культури і туризму</w:t>
            </w:r>
            <w:r w:rsidR="002D3A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облдержадміністрації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BC120F"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C120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BC120F"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C120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ED6F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D6F4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ED6F4D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BC120F"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C120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ED6F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D6F4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11321A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Департамент освіти</w:t>
            </w:r>
            <w:r w:rsidR="00BC120F"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 науки облдержадміністрації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ED6F4D" w:rsidP="00BC12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BC120F"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C120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104E7" w:rsidRDefault="007B1386"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024A32F3" wp14:editId="73914713">
            <wp:simplePos x="0" y="0"/>
            <wp:positionH relativeFrom="column">
              <wp:posOffset>9666147</wp:posOffset>
            </wp:positionH>
            <wp:positionV relativeFrom="paragraph">
              <wp:posOffset>2863850</wp:posOffset>
            </wp:positionV>
            <wp:extent cx="123825" cy="2476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40D" w:rsidRDefault="00AA440D" w:rsidP="00AA4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</w:t>
      </w:r>
    </w:p>
    <w:p w:rsidR="00AA440D" w:rsidRDefault="00AA440D" w:rsidP="00AA4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справах молоді та спорту </w:t>
      </w:r>
    </w:p>
    <w:p w:rsidR="002104E7" w:rsidRPr="00AA440D" w:rsidRDefault="00AA440D" w:rsidP="00AA4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облдержадміністрації                                                                                                                   </w:t>
      </w:r>
      <w:r w:rsidR="007B138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Віталій ЛІПСЬКИЙ</w:t>
      </w:r>
    </w:p>
    <w:p w:rsidR="002104E7" w:rsidRDefault="002104E7" w:rsidP="002104E7">
      <w:pPr>
        <w:tabs>
          <w:tab w:val="left" w:pos="10107"/>
        </w:tabs>
      </w:pPr>
      <w:r>
        <w:tab/>
      </w:r>
    </w:p>
    <w:p w:rsidR="007B1386" w:rsidRDefault="007B1386"/>
    <w:p w:rsidR="007B1386" w:rsidRDefault="007B1386" w:rsidP="007B1386">
      <w:pPr>
        <w:jc w:val="center"/>
      </w:pPr>
    </w:p>
    <w:p w:rsidR="00C11300" w:rsidRDefault="00E74676">
      <w:r w:rsidRPr="007B1386">
        <w:br w:type="page"/>
      </w:r>
    </w:p>
    <w:sectPr w:rsidR="00C11300" w:rsidSect="004F2E33">
      <w:headerReference w:type="default" r:id="rId11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81" w:rsidRDefault="00AA1981" w:rsidP="00E74676">
      <w:pPr>
        <w:spacing w:after="0" w:line="240" w:lineRule="auto"/>
      </w:pPr>
      <w:r>
        <w:separator/>
      </w:r>
    </w:p>
  </w:endnote>
  <w:endnote w:type="continuationSeparator" w:id="0">
    <w:p w:rsidR="00AA1981" w:rsidRDefault="00AA1981" w:rsidP="00E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81" w:rsidRDefault="00AA1981" w:rsidP="00E74676">
      <w:pPr>
        <w:spacing w:after="0" w:line="240" w:lineRule="auto"/>
      </w:pPr>
      <w:r>
        <w:separator/>
      </w:r>
    </w:p>
  </w:footnote>
  <w:footnote w:type="continuationSeparator" w:id="0">
    <w:p w:rsidR="00AA1981" w:rsidRDefault="00AA1981" w:rsidP="00E7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504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7F52" w:rsidRPr="00E74676" w:rsidRDefault="003A7F52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74676">
          <w:rPr>
            <w:rFonts w:ascii="Times New Roman" w:hAnsi="Times New Roman"/>
            <w:sz w:val="28"/>
            <w:szCs w:val="28"/>
          </w:rPr>
          <w:fldChar w:fldCharType="begin"/>
        </w:r>
        <w:r w:rsidRPr="00E746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74676">
          <w:rPr>
            <w:rFonts w:ascii="Times New Roman" w:hAnsi="Times New Roman"/>
            <w:sz w:val="28"/>
            <w:szCs w:val="28"/>
          </w:rPr>
          <w:fldChar w:fldCharType="separate"/>
        </w:r>
        <w:r w:rsidR="009D759A" w:rsidRPr="009D759A">
          <w:rPr>
            <w:rFonts w:ascii="Times New Roman" w:hAnsi="Times New Roman"/>
            <w:noProof/>
            <w:sz w:val="28"/>
            <w:szCs w:val="28"/>
            <w:lang w:val="ru-RU"/>
          </w:rPr>
          <w:t>24</w:t>
        </w:r>
        <w:r w:rsidRPr="00E746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7F52" w:rsidRDefault="003A7F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BDF"/>
    <w:multiLevelType w:val="hybridMultilevel"/>
    <w:tmpl w:val="5EDC981C"/>
    <w:lvl w:ilvl="0" w:tplc="D8C6BBB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25B1C"/>
    <w:multiLevelType w:val="hybridMultilevel"/>
    <w:tmpl w:val="72DE1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424A"/>
    <w:multiLevelType w:val="hybridMultilevel"/>
    <w:tmpl w:val="F9A4C92A"/>
    <w:lvl w:ilvl="0" w:tplc="FB080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80B8A"/>
    <w:multiLevelType w:val="hybridMultilevel"/>
    <w:tmpl w:val="B79C7056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0059A"/>
    <w:multiLevelType w:val="hybridMultilevel"/>
    <w:tmpl w:val="032299D0"/>
    <w:lvl w:ilvl="0" w:tplc="C3A8B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76"/>
    <w:rsid w:val="000066EC"/>
    <w:rsid w:val="00015BBE"/>
    <w:rsid w:val="000869A3"/>
    <w:rsid w:val="000A083E"/>
    <w:rsid w:val="000B445D"/>
    <w:rsid w:val="000F7327"/>
    <w:rsid w:val="0011321A"/>
    <w:rsid w:val="001636BB"/>
    <w:rsid w:val="00187B07"/>
    <w:rsid w:val="001A74C6"/>
    <w:rsid w:val="001B4CD1"/>
    <w:rsid w:val="002023DD"/>
    <w:rsid w:val="002104E7"/>
    <w:rsid w:val="00237C2D"/>
    <w:rsid w:val="002525DE"/>
    <w:rsid w:val="002565BA"/>
    <w:rsid w:val="00283732"/>
    <w:rsid w:val="00286CFD"/>
    <w:rsid w:val="00296725"/>
    <w:rsid w:val="002A27EB"/>
    <w:rsid w:val="002D3A18"/>
    <w:rsid w:val="002D46E3"/>
    <w:rsid w:val="002E03B5"/>
    <w:rsid w:val="00323BB8"/>
    <w:rsid w:val="0032622C"/>
    <w:rsid w:val="00333EAE"/>
    <w:rsid w:val="003458E3"/>
    <w:rsid w:val="003616C7"/>
    <w:rsid w:val="00366B52"/>
    <w:rsid w:val="00390620"/>
    <w:rsid w:val="003A0708"/>
    <w:rsid w:val="003A7F52"/>
    <w:rsid w:val="003C3026"/>
    <w:rsid w:val="003C4CEB"/>
    <w:rsid w:val="003C55B4"/>
    <w:rsid w:val="003E1F00"/>
    <w:rsid w:val="00406F7F"/>
    <w:rsid w:val="00415671"/>
    <w:rsid w:val="00424BE8"/>
    <w:rsid w:val="00436651"/>
    <w:rsid w:val="004523DB"/>
    <w:rsid w:val="00453D14"/>
    <w:rsid w:val="00496B38"/>
    <w:rsid w:val="004B1703"/>
    <w:rsid w:val="004F2E33"/>
    <w:rsid w:val="005557F7"/>
    <w:rsid w:val="0057577E"/>
    <w:rsid w:val="00595BDE"/>
    <w:rsid w:val="005A66C4"/>
    <w:rsid w:val="005D5F8B"/>
    <w:rsid w:val="005E47D5"/>
    <w:rsid w:val="00604D2D"/>
    <w:rsid w:val="006113CD"/>
    <w:rsid w:val="006209C4"/>
    <w:rsid w:val="00655B63"/>
    <w:rsid w:val="00655BE6"/>
    <w:rsid w:val="006F3D20"/>
    <w:rsid w:val="00701EA5"/>
    <w:rsid w:val="0076374B"/>
    <w:rsid w:val="00767DAA"/>
    <w:rsid w:val="00770520"/>
    <w:rsid w:val="007B1386"/>
    <w:rsid w:val="007B2D03"/>
    <w:rsid w:val="007C69D0"/>
    <w:rsid w:val="007D494B"/>
    <w:rsid w:val="007E0CEE"/>
    <w:rsid w:val="00840BFC"/>
    <w:rsid w:val="00870544"/>
    <w:rsid w:val="008D2800"/>
    <w:rsid w:val="008F45BF"/>
    <w:rsid w:val="008F68A7"/>
    <w:rsid w:val="00931D92"/>
    <w:rsid w:val="009579EB"/>
    <w:rsid w:val="00966CF2"/>
    <w:rsid w:val="00993952"/>
    <w:rsid w:val="009A5C56"/>
    <w:rsid w:val="009D759A"/>
    <w:rsid w:val="009E1228"/>
    <w:rsid w:val="00A041D1"/>
    <w:rsid w:val="00A07E17"/>
    <w:rsid w:val="00A14C10"/>
    <w:rsid w:val="00A14FEB"/>
    <w:rsid w:val="00A30E9D"/>
    <w:rsid w:val="00A91218"/>
    <w:rsid w:val="00AA1981"/>
    <w:rsid w:val="00AA440D"/>
    <w:rsid w:val="00AC74D6"/>
    <w:rsid w:val="00AE7A56"/>
    <w:rsid w:val="00AF2B5D"/>
    <w:rsid w:val="00B23791"/>
    <w:rsid w:val="00B23FE6"/>
    <w:rsid w:val="00B26BD8"/>
    <w:rsid w:val="00B776C7"/>
    <w:rsid w:val="00BB0B94"/>
    <w:rsid w:val="00BC120F"/>
    <w:rsid w:val="00C072A4"/>
    <w:rsid w:val="00C11300"/>
    <w:rsid w:val="00C619B0"/>
    <w:rsid w:val="00CB73AD"/>
    <w:rsid w:val="00CD18D7"/>
    <w:rsid w:val="00CE2AAC"/>
    <w:rsid w:val="00CE7C28"/>
    <w:rsid w:val="00D217B8"/>
    <w:rsid w:val="00D90DD1"/>
    <w:rsid w:val="00D93574"/>
    <w:rsid w:val="00E34674"/>
    <w:rsid w:val="00E5330A"/>
    <w:rsid w:val="00E74676"/>
    <w:rsid w:val="00E84595"/>
    <w:rsid w:val="00E87601"/>
    <w:rsid w:val="00EC316A"/>
    <w:rsid w:val="00ED429D"/>
    <w:rsid w:val="00ED6F4D"/>
    <w:rsid w:val="00EE5082"/>
    <w:rsid w:val="00F232DF"/>
    <w:rsid w:val="00F30DA3"/>
    <w:rsid w:val="00F37A84"/>
    <w:rsid w:val="00F5756D"/>
    <w:rsid w:val="00FA6463"/>
    <w:rsid w:val="00FD3479"/>
    <w:rsid w:val="00FE04CA"/>
    <w:rsid w:val="00FF42F0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7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676"/>
    <w:pPr>
      <w:ind w:left="720"/>
      <w:contextualSpacing/>
    </w:pPr>
  </w:style>
  <w:style w:type="paragraph" w:styleId="a4">
    <w:name w:val="No Spacing"/>
    <w:uiPriority w:val="1"/>
    <w:qFormat/>
    <w:rsid w:val="00E746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7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76"/>
    <w:rPr>
      <w:rFonts w:ascii="Tahoma" w:eastAsia="Calibri" w:hAnsi="Tahoma" w:cs="Tahoma"/>
      <w:sz w:val="16"/>
      <w:szCs w:val="16"/>
      <w:lang w:val="uk-UA"/>
    </w:rPr>
  </w:style>
  <w:style w:type="character" w:styleId="a7">
    <w:name w:val="Strong"/>
    <w:uiPriority w:val="22"/>
    <w:qFormat/>
    <w:rsid w:val="00E74676"/>
    <w:rPr>
      <w:b/>
      <w:bCs/>
    </w:rPr>
  </w:style>
  <w:style w:type="paragraph" w:styleId="a8">
    <w:name w:val="header"/>
    <w:basedOn w:val="a"/>
    <w:link w:val="a9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676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67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7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676"/>
    <w:pPr>
      <w:ind w:left="720"/>
      <w:contextualSpacing/>
    </w:pPr>
  </w:style>
  <w:style w:type="paragraph" w:styleId="a4">
    <w:name w:val="No Spacing"/>
    <w:uiPriority w:val="1"/>
    <w:qFormat/>
    <w:rsid w:val="00E746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7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76"/>
    <w:rPr>
      <w:rFonts w:ascii="Tahoma" w:eastAsia="Calibri" w:hAnsi="Tahoma" w:cs="Tahoma"/>
      <w:sz w:val="16"/>
      <w:szCs w:val="16"/>
      <w:lang w:val="uk-UA"/>
    </w:rPr>
  </w:style>
  <w:style w:type="character" w:styleId="a7">
    <w:name w:val="Strong"/>
    <w:uiPriority w:val="22"/>
    <w:qFormat/>
    <w:rsid w:val="00E74676"/>
    <w:rPr>
      <w:b/>
      <w:bCs/>
    </w:rPr>
  </w:style>
  <w:style w:type="paragraph" w:styleId="a8">
    <w:name w:val="header"/>
    <w:basedOn w:val="a"/>
    <w:link w:val="a9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676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67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4816-A229-4A3E-84A1-F25C1689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20039</Words>
  <Characters>11423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 ODA</dc:creator>
  <cp:lastModifiedBy>Лісова</cp:lastModifiedBy>
  <cp:revision>2</cp:revision>
  <cp:lastPrinted>2021-11-25T08:13:00Z</cp:lastPrinted>
  <dcterms:created xsi:type="dcterms:W3CDTF">2021-12-07T07:15:00Z</dcterms:created>
  <dcterms:modified xsi:type="dcterms:W3CDTF">2021-12-07T07:15:00Z</dcterms:modified>
</cp:coreProperties>
</file>