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E" w:rsidRPr="00D27E3F" w:rsidRDefault="00BC3F19" w:rsidP="00BC3F19">
      <w:pPr>
        <w:shd w:val="clear" w:color="auto" w:fill="FFFFFF"/>
        <w:spacing w:after="0" w:line="36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C3F19" w:rsidRDefault="00BC3F19" w:rsidP="00BC3F19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9709E"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</w:t>
      </w:r>
    </w:p>
    <w:p w:rsidR="0049709E" w:rsidRPr="00D27E3F" w:rsidRDefault="00BC3F19" w:rsidP="00BC3F19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 w:rsidR="0049709E"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9709E"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</w:p>
    <w:p w:rsidR="0049709E" w:rsidRPr="00D27E3F" w:rsidRDefault="008711FB" w:rsidP="00F5007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14.06.2021 </w:t>
      </w:r>
      <w:r w:rsidR="00F5007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709E" w:rsidRPr="00D27E3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5007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453</w:t>
      </w:r>
      <w:bookmarkStart w:id="0" w:name="_GoBack"/>
      <w:bookmarkEnd w:id="0"/>
    </w:p>
    <w:p w:rsidR="0049709E" w:rsidRDefault="0049709E" w:rsidP="00F5243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1E27" w:rsidRPr="00D27E3F" w:rsidRDefault="00DF1E27" w:rsidP="00F52430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09E" w:rsidRPr="00D27E3F" w:rsidRDefault="0049709E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49709E" w:rsidRPr="00D27E3F" w:rsidRDefault="0049709E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C3F19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онсультативну раду з питань</w:t>
      </w:r>
    </w:p>
    <w:p w:rsidR="0049709E" w:rsidRDefault="0049709E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 прав і свобод захисників України</w:t>
      </w:r>
    </w:p>
    <w:p w:rsidR="00BC3F19" w:rsidRPr="00D27E3F" w:rsidRDefault="00BC3F19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 Рівненській обласній державній адміністрації</w:t>
      </w:r>
    </w:p>
    <w:p w:rsidR="0049709E" w:rsidRPr="00DF1E27" w:rsidRDefault="0049709E" w:rsidP="00B132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1. Консультативна рада з питань забезпечення прав і свобод захисників України </w:t>
      </w:r>
      <w:r w:rsidR="003C4957"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3C49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C4957"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онсультативна рада)</w:t>
      </w:r>
      <w:r w:rsidR="003C4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є консультативно-дорадчим органом</w:t>
      </w:r>
      <w:r w:rsidR="003C4957" w:rsidRPr="003C4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957" w:rsidRPr="00D27E3F">
        <w:rPr>
          <w:rFonts w:ascii="Times New Roman" w:hAnsi="Times New Roman" w:cs="Times New Roman"/>
          <w:sz w:val="28"/>
          <w:szCs w:val="28"/>
          <w:lang w:val="uk-UA"/>
        </w:rPr>
        <w:t>при Рівненській обласній державній адміністрації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2. Консультативна рада у своїй діяльності керується Конституцією та законами України, актами Президента України, Кабінету Міністрів України, іншими актами законодавства,  а також цим Положенням.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3. Основними завданнями </w:t>
      </w:r>
      <w:r w:rsidR="003C49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є: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стану забезпечення додержання гарантій захисту прав </w:t>
      </w:r>
      <w:r w:rsidR="008A31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і основоположних свобод осіб, які відстоювали засади демократії, права </w:t>
      </w:r>
      <w:r w:rsidR="008A31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та свободи людини під час Революції Гідності, учасників бойових дій, які захищали незалежність, суверенітет та територіальну цілісність України </w:t>
      </w:r>
      <w:r w:rsidR="008A31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і безпосередньо брали участь в антитерористичній операції, брали або беруть участь у заходах із забезпечення національної безпеки і оборони, відсічі </w:t>
      </w:r>
      <w:r w:rsidR="008A319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і стримування збройної агресії Російської Федерації у Донецькій та Луганській областях, осіб, які здійснювали волонтерську та правозахисну діяльність, інших осіб, які брали або беруть участь у захисті України; забезпечення гарантій верховенства права;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опрацювання та внесення пропозицій щодо відновлення порушених прав осіб, які брали або беруть участь у захисті України, здійснення помилування;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підготовка та внесення пропозицій щодо удосконалення законодавства України з питань забезпечення гарантій прав і основоположних свобод осіб, які брали або беруть участь у захисті України, а також щодо забезпечення справедливого правосуддя, застосування амністії.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4. Консультативна рада для виконання покладених на неї завдань має право в установленому порядку: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вносити пропозиції щодо ініціювання розроб</w:t>
      </w:r>
      <w:r w:rsidR="00AE35C0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E35C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ктів законів України, актів Президента України, розпоряджен</w:t>
      </w:r>
      <w:r w:rsidR="00B74A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5A5CC0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державної адміністрації з питань забезпечення гарантій прав і основоположних свобод осіб, які брали або беруть участь у захисті України; 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брати участь в обговоренні про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ктів законів, державних програм, інших актів законодавства, що стосуються прав та інтересів осіб, які брали або беруть участь у захисті України;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одержувати від державних органів та органів місцевого самоврядування, державних підприємств, установ, організацій необхідні інформацію, документи та матеріали;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залучати до виконання покладених на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онсультативну раду завдань представників державних органів, а також представників підприємств, установ та організацій, громадських об'єднань, незалежних фахівців (за їх згодою);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розглядати пропозиції інститутів громадянського суспільства та звернення громадян із питань, що належать до компетенції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ради, аналізувати та узагальнювати такі пропозиції і звернення, відповідати на них;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утворювати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у разі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для виконання покладених на неї завдань постійні або тимчасові консультативні, експертні та робочі групи, визначати порядок їх роботи, затверджувати їх склад.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5. Консультативна рада у процесі виконання покладених на неї завдань взаємодіє в установленому порядку з іншими допоміжними органами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і службами, утвореними головою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адміністрації, а також з державними органами, органами місцевого самоврядування, громадськими об'єднаннями, підприємствами, установами й організаціями,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а також з іноземними урядовими і неурядовими організаціями.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6. Консультативна рада утворюється у складі голови,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голови, секретаря та інших членів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ради, які беруть участь у її роботі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на громадських засадах.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7. Голова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ради: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призначає засідання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порядок денний засідання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головує на засіданнях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ради.</w:t>
      </w:r>
    </w:p>
    <w:p w:rsidR="0049709E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8. Секретар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ради: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голови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 забезпечує інформування членів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про дату, час та місце проведення засідання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підготовку матеріалів для розгляду на засіданні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відповідно до порядку денного, надсилає їх разом із про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ктом порядку денного членам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 не пізніше ніж </w:t>
      </w:r>
      <w:r w:rsidRPr="008E1A3D">
        <w:rPr>
          <w:rFonts w:ascii="Times New Roman" w:hAnsi="Times New Roman" w:cs="Times New Roman"/>
          <w:sz w:val="28"/>
          <w:szCs w:val="28"/>
          <w:lang w:val="uk-UA"/>
        </w:rPr>
        <w:t xml:space="preserve">за  </w:t>
      </w:r>
      <w:r w:rsidR="00EA08AC" w:rsidRPr="008E1A3D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Pr="008E1A3D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до дати проведення засідання;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веде протокол засідання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ради;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виконує інші завдання, пов'язані з організацією та проведенням засідань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9. Основною формою роботи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є засідання.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є правомочним, якщо на ньому присутні не менше половини від її складу.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За результатами засідання оформлюється протокол.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 приймаються більшістю голосів присутніх на засіданні членів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 шляхом відкритого голосування. У разі рівного розподілу голосів вирішальним є голос голови </w:t>
      </w:r>
      <w:r w:rsidR="00EA08A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11. Для організаційного, інформаційного забезпечення своєї діяльності </w:t>
      </w:r>
      <w:r w:rsidR="006C73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онсультативна рада може утворювати робочий орган.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12. Консультативна рада інформує громадськість про свою діяльність. Інформація про діяльність </w:t>
      </w:r>
      <w:r w:rsidR="006C73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онсультативної ради розміщується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офіційному 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 вебсайті </w:t>
      </w:r>
      <w:r w:rsidR="006C7305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709E" w:rsidRPr="00D27E3F" w:rsidRDefault="0049709E" w:rsidP="00C15C2F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13. Організаційно-технічне забезпечення діяльності </w:t>
      </w:r>
      <w:r w:rsidR="006C73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 xml:space="preserve">онсультативної ради здійснюється </w:t>
      </w:r>
      <w:r w:rsidR="006C7305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Рівненською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обласною державною адміністрацією</w:t>
      </w:r>
      <w:r w:rsidRPr="00D27E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709E" w:rsidRPr="00D27E3F" w:rsidRDefault="0049709E" w:rsidP="00F50072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09E" w:rsidRPr="00D27E3F" w:rsidRDefault="0049709E" w:rsidP="00F50072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09E" w:rsidRDefault="0049709E" w:rsidP="00F52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3F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</w:p>
    <w:p w:rsidR="0049709E" w:rsidRPr="00D27E3F" w:rsidRDefault="0049709E" w:rsidP="00F47E4D">
      <w:pPr>
        <w:pStyle w:val="a4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045399">
        <w:rPr>
          <w:rFonts w:ascii="Times New Roman" w:hAnsi="Times New Roman" w:cs="Times New Roman"/>
          <w:sz w:val="28"/>
          <w:szCs w:val="28"/>
        </w:rPr>
        <w:t xml:space="preserve">розвитку адміністративних послуг, </w:t>
      </w:r>
      <w:r w:rsidRPr="00045399">
        <w:rPr>
          <w:rFonts w:ascii="Times New Roman" w:hAnsi="Times New Roman" w:cs="Times New Roman"/>
          <w:sz w:val="28"/>
          <w:szCs w:val="28"/>
        </w:rPr>
        <w:br/>
        <w:t>соціальної, молодіжної політики</w:t>
      </w:r>
      <w:r w:rsidR="00F47E4D">
        <w:rPr>
          <w:rFonts w:ascii="Times New Roman" w:hAnsi="Times New Roman" w:cs="Times New Roman"/>
          <w:sz w:val="28"/>
          <w:szCs w:val="28"/>
        </w:rPr>
        <w:br/>
      </w:r>
      <w:r w:rsidRPr="00045399">
        <w:rPr>
          <w:rFonts w:ascii="Times New Roman" w:hAnsi="Times New Roman" w:cs="Times New Roman"/>
          <w:sz w:val="28"/>
          <w:szCs w:val="28"/>
        </w:rPr>
        <w:t>та спорту</w:t>
      </w:r>
      <w:r w:rsidR="00F47E4D" w:rsidRPr="00F47E4D">
        <w:rPr>
          <w:rFonts w:ascii="Times New Roman" w:hAnsi="Times New Roman" w:cs="Times New Roman"/>
          <w:sz w:val="28"/>
          <w:szCs w:val="28"/>
        </w:rPr>
        <w:t xml:space="preserve"> </w:t>
      </w:r>
      <w:r w:rsidRPr="00E52AFD">
        <w:rPr>
          <w:rFonts w:ascii="Times New Roman" w:hAnsi="Times New Roman" w:cs="Times New Roman"/>
          <w:sz w:val="28"/>
          <w:szCs w:val="28"/>
        </w:rPr>
        <w:t xml:space="preserve">адміністрації                                </w:t>
      </w:r>
      <w:r w:rsidRPr="00E52AFD">
        <w:rPr>
          <w:rFonts w:ascii="Times New Roman" w:hAnsi="Times New Roman" w:cs="Times New Roman"/>
          <w:sz w:val="28"/>
          <w:szCs w:val="28"/>
        </w:rPr>
        <w:tab/>
      </w:r>
      <w:r w:rsidRPr="00E52AFD">
        <w:rPr>
          <w:rFonts w:ascii="Times New Roman" w:hAnsi="Times New Roman" w:cs="Times New Roman"/>
          <w:sz w:val="28"/>
          <w:szCs w:val="28"/>
        </w:rPr>
        <w:tab/>
      </w:r>
      <w:r w:rsidRPr="00E52AFD">
        <w:rPr>
          <w:rFonts w:ascii="Times New Roman" w:hAnsi="Times New Roman" w:cs="Times New Roman"/>
          <w:sz w:val="28"/>
          <w:szCs w:val="28"/>
        </w:rPr>
        <w:tab/>
        <w:t xml:space="preserve"> Юлія</w:t>
      </w:r>
      <w:r w:rsidRPr="00D27E3F">
        <w:rPr>
          <w:rFonts w:ascii="Times New Roman" w:hAnsi="Times New Roman" w:cs="Times New Roman"/>
          <w:sz w:val="28"/>
          <w:szCs w:val="28"/>
        </w:rPr>
        <w:t xml:space="preserve"> ШИГОРЕВА</w:t>
      </w:r>
    </w:p>
    <w:sectPr w:rsidR="0049709E" w:rsidRPr="00D27E3F" w:rsidSect="004308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DF" w:rsidRDefault="00D241DF" w:rsidP="0043085B">
      <w:pPr>
        <w:spacing w:after="0" w:line="240" w:lineRule="auto"/>
      </w:pPr>
      <w:r>
        <w:separator/>
      </w:r>
    </w:p>
  </w:endnote>
  <w:endnote w:type="continuationSeparator" w:id="0">
    <w:p w:rsidR="00D241DF" w:rsidRDefault="00D241DF" w:rsidP="004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DF" w:rsidRDefault="00D241DF" w:rsidP="0043085B">
      <w:pPr>
        <w:spacing w:after="0" w:line="240" w:lineRule="auto"/>
      </w:pPr>
      <w:r>
        <w:separator/>
      </w:r>
    </w:p>
  </w:footnote>
  <w:footnote w:type="continuationSeparator" w:id="0">
    <w:p w:rsidR="00D241DF" w:rsidRDefault="00D241DF" w:rsidP="004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085B" w:rsidRPr="0043085B" w:rsidRDefault="0043085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0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0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0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1FB" w:rsidRPr="008711FB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4308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085B" w:rsidRDefault="004308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83"/>
    <w:rsid w:val="000322FC"/>
    <w:rsid w:val="00045399"/>
    <w:rsid w:val="000A2CD9"/>
    <w:rsid w:val="001C2B55"/>
    <w:rsid w:val="00222F9D"/>
    <w:rsid w:val="00383B26"/>
    <w:rsid w:val="003C4957"/>
    <w:rsid w:val="003F7808"/>
    <w:rsid w:val="0043085B"/>
    <w:rsid w:val="0047381F"/>
    <w:rsid w:val="0049709E"/>
    <w:rsid w:val="004C73E6"/>
    <w:rsid w:val="005669B9"/>
    <w:rsid w:val="005A5CC0"/>
    <w:rsid w:val="005E54B8"/>
    <w:rsid w:val="006C7305"/>
    <w:rsid w:val="008711FB"/>
    <w:rsid w:val="008A3193"/>
    <w:rsid w:val="008E1A3D"/>
    <w:rsid w:val="00916970"/>
    <w:rsid w:val="009706B3"/>
    <w:rsid w:val="00983D83"/>
    <w:rsid w:val="00AD4AEC"/>
    <w:rsid w:val="00AE35C0"/>
    <w:rsid w:val="00AE62CA"/>
    <w:rsid w:val="00B132E6"/>
    <w:rsid w:val="00B74AAF"/>
    <w:rsid w:val="00B930B7"/>
    <w:rsid w:val="00BC3F19"/>
    <w:rsid w:val="00C15C2F"/>
    <w:rsid w:val="00C24692"/>
    <w:rsid w:val="00D241DF"/>
    <w:rsid w:val="00D27E3F"/>
    <w:rsid w:val="00DF1E27"/>
    <w:rsid w:val="00E122A5"/>
    <w:rsid w:val="00E52AFD"/>
    <w:rsid w:val="00EA08AC"/>
    <w:rsid w:val="00F47E4D"/>
    <w:rsid w:val="00F50072"/>
    <w:rsid w:val="00F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D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D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ий текст"/>
    <w:basedOn w:val="a"/>
    <w:uiPriority w:val="99"/>
    <w:rsid w:val="003F7808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5">
    <w:name w:val="header"/>
    <w:basedOn w:val="a"/>
    <w:link w:val="a6"/>
    <w:uiPriority w:val="99"/>
    <w:unhideWhenUsed/>
    <w:rsid w:val="00430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85B"/>
    <w:rPr>
      <w:rFonts w:cs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30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85B"/>
    <w:rPr>
      <w:rFonts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D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D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ий текст"/>
    <w:basedOn w:val="a"/>
    <w:uiPriority w:val="99"/>
    <w:rsid w:val="003F7808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5">
    <w:name w:val="header"/>
    <w:basedOn w:val="a"/>
    <w:link w:val="a6"/>
    <w:uiPriority w:val="99"/>
    <w:unhideWhenUsed/>
    <w:rsid w:val="00430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85B"/>
    <w:rPr>
      <w:rFonts w:cs="Calibri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308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85B"/>
    <w:rPr>
      <w:rFonts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Pilgi2</dc:creator>
  <cp:lastModifiedBy>Лісова</cp:lastModifiedBy>
  <cp:revision>3</cp:revision>
  <cp:lastPrinted>2021-06-10T09:45:00Z</cp:lastPrinted>
  <dcterms:created xsi:type="dcterms:W3CDTF">2021-06-23T10:54:00Z</dcterms:created>
  <dcterms:modified xsi:type="dcterms:W3CDTF">2021-06-23T10:54:00Z</dcterms:modified>
</cp:coreProperties>
</file>